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27CC" w:rsidRDefault="00346DA8">
      <w:r>
        <w:rPr>
          <w:noProof/>
        </w:rPr>
        <w:drawing>
          <wp:inline distT="0" distB="0" distL="0" distR="0">
            <wp:extent cx="1162050" cy="1009650"/>
            <wp:effectExtent l="0" t="0" r="0" b="0"/>
            <wp:docPr id="1" name="image2.png" descr="CCS_2935_SML_AW"/>
            <wp:cNvGraphicFramePr/>
            <a:graphic xmlns:a="http://schemas.openxmlformats.org/drawingml/2006/main">
              <a:graphicData uri="http://schemas.openxmlformats.org/drawingml/2006/picture">
                <pic:pic xmlns:pic="http://schemas.openxmlformats.org/drawingml/2006/picture">
                  <pic:nvPicPr>
                    <pic:cNvPr id="0" name="image2.png" descr="CCS_2935_SML_AW"/>
                    <pic:cNvPicPr preferRelativeResize="0"/>
                  </pic:nvPicPr>
                  <pic:blipFill>
                    <a:blip r:embed="rId7"/>
                    <a:srcRect/>
                    <a:stretch>
                      <a:fillRect/>
                    </a:stretch>
                  </pic:blipFill>
                  <pic:spPr>
                    <a:xfrm>
                      <a:off x="0" y="0"/>
                      <a:ext cx="1162050" cy="1009650"/>
                    </a:xfrm>
                    <a:prstGeom prst="rect">
                      <a:avLst/>
                    </a:prstGeom>
                    <a:ln/>
                  </pic:spPr>
                </pic:pic>
              </a:graphicData>
            </a:graphic>
          </wp:inline>
        </w:drawing>
      </w:r>
    </w:p>
    <w:p w:rsidR="00E027CC" w:rsidRDefault="00E027CC">
      <w:pPr>
        <w:pBdr>
          <w:top w:val="nil"/>
          <w:left w:val="nil"/>
          <w:bottom w:val="nil"/>
          <w:right w:val="nil"/>
          <w:between w:val="nil"/>
        </w:pBdr>
        <w:spacing w:before="120" w:after="120" w:line="240" w:lineRule="auto"/>
        <w:jc w:val="center"/>
        <w:rPr>
          <w:rFonts w:ascii="Arial" w:eastAsia="Arial" w:hAnsi="Arial" w:cs="Arial"/>
          <w:b/>
          <w:color w:val="000000"/>
        </w:rPr>
      </w:pPr>
    </w:p>
    <w:p w:rsidR="00E027CC" w:rsidRDefault="00E027CC">
      <w:pPr>
        <w:pBdr>
          <w:top w:val="nil"/>
          <w:left w:val="nil"/>
          <w:bottom w:val="nil"/>
          <w:right w:val="nil"/>
          <w:between w:val="nil"/>
        </w:pBdr>
        <w:spacing w:before="120" w:after="120" w:line="240" w:lineRule="auto"/>
        <w:jc w:val="center"/>
        <w:rPr>
          <w:rFonts w:ascii="Arial" w:eastAsia="Arial" w:hAnsi="Arial" w:cs="Arial"/>
          <w:b/>
          <w:color w:val="000000"/>
        </w:rPr>
      </w:pPr>
    </w:p>
    <w:p w:rsidR="00E027CC" w:rsidRDefault="00E027CC">
      <w:pPr>
        <w:pBdr>
          <w:top w:val="nil"/>
          <w:left w:val="nil"/>
          <w:bottom w:val="nil"/>
          <w:right w:val="nil"/>
          <w:between w:val="nil"/>
        </w:pBdr>
        <w:spacing w:before="120" w:after="120" w:line="240" w:lineRule="auto"/>
        <w:jc w:val="center"/>
        <w:rPr>
          <w:rFonts w:ascii="Arial" w:eastAsia="Arial" w:hAnsi="Arial" w:cs="Arial"/>
          <w:b/>
          <w:color w:val="000000"/>
        </w:rPr>
      </w:pPr>
    </w:p>
    <w:p w:rsidR="00E027CC" w:rsidRDefault="00346DA8">
      <w:pPr>
        <w:pBdr>
          <w:top w:val="nil"/>
          <w:left w:val="nil"/>
          <w:bottom w:val="nil"/>
          <w:right w:val="nil"/>
          <w:between w:val="nil"/>
        </w:pBdr>
        <w:spacing w:before="120" w:after="120" w:line="240" w:lineRule="auto"/>
        <w:jc w:val="center"/>
        <w:rPr>
          <w:rFonts w:ascii="Arial" w:eastAsia="Arial" w:hAnsi="Arial" w:cs="Arial"/>
          <w:b/>
          <w:color w:val="000000"/>
        </w:rPr>
      </w:pPr>
      <w:r>
        <w:rPr>
          <w:rFonts w:ascii="Arial" w:eastAsia="Arial" w:hAnsi="Arial" w:cs="Arial"/>
          <w:b/>
          <w:color w:val="000000"/>
        </w:rPr>
        <w:t>INVITATION TO TENDER</w:t>
      </w:r>
    </w:p>
    <w:p w:rsidR="00E027CC" w:rsidRDefault="00E027CC">
      <w:pPr>
        <w:pBdr>
          <w:top w:val="nil"/>
          <w:left w:val="nil"/>
          <w:bottom w:val="nil"/>
          <w:right w:val="nil"/>
          <w:between w:val="nil"/>
        </w:pBdr>
        <w:spacing w:before="120" w:after="120" w:line="240" w:lineRule="auto"/>
        <w:jc w:val="center"/>
        <w:rPr>
          <w:rFonts w:ascii="Arial" w:eastAsia="Arial" w:hAnsi="Arial" w:cs="Arial"/>
          <w:b/>
          <w:color w:val="000000"/>
        </w:rPr>
      </w:pPr>
      <w:bookmarkStart w:id="0" w:name="_GoBack"/>
      <w:bookmarkEnd w:id="0"/>
    </w:p>
    <w:p w:rsidR="00E027CC" w:rsidRDefault="00E027CC">
      <w:pPr>
        <w:pBdr>
          <w:top w:val="nil"/>
          <w:left w:val="nil"/>
          <w:bottom w:val="nil"/>
          <w:right w:val="nil"/>
          <w:between w:val="nil"/>
        </w:pBdr>
        <w:spacing w:before="60" w:after="60" w:line="240" w:lineRule="auto"/>
        <w:jc w:val="center"/>
        <w:rPr>
          <w:rFonts w:ascii="Arial" w:eastAsia="Arial" w:hAnsi="Arial" w:cs="Arial"/>
          <w:b/>
          <w:color w:val="000000"/>
        </w:rPr>
      </w:pPr>
    </w:p>
    <w:p w:rsidR="00E027CC" w:rsidRDefault="00346DA8">
      <w:pPr>
        <w:pBdr>
          <w:top w:val="nil"/>
          <w:left w:val="nil"/>
          <w:bottom w:val="nil"/>
          <w:right w:val="nil"/>
          <w:between w:val="nil"/>
        </w:pBdr>
        <w:spacing w:before="60" w:after="60" w:line="240" w:lineRule="auto"/>
        <w:jc w:val="center"/>
        <w:rPr>
          <w:rFonts w:ascii="Arial" w:eastAsia="Arial" w:hAnsi="Arial" w:cs="Arial"/>
          <w:b/>
          <w:color w:val="000000"/>
        </w:rPr>
      </w:pPr>
      <w:r>
        <w:rPr>
          <w:rFonts w:ascii="Arial" w:eastAsia="Arial" w:hAnsi="Arial" w:cs="Arial"/>
          <w:b/>
        </w:rPr>
        <w:t>PROFESSIONAL ECONOMIST INTEGRATED DEGREE APPRENTICESHIP</w:t>
      </w:r>
    </w:p>
    <w:p w:rsidR="00E027CC" w:rsidRDefault="00E027CC">
      <w:pPr>
        <w:pBdr>
          <w:top w:val="nil"/>
          <w:left w:val="nil"/>
          <w:bottom w:val="nil"/>
          <w:right w:val="nil"/>
          <w:between w:val="nil"/>
        </w:pBdr>
        <w:spacing w:before="60" w:after="60" w:line="240" w:lineRule="auto"/>
        <w:jc w:val="center"/>
        <w:rPr>
          <w:rFonts w:ascii="Arial" w:eastAsia="Arial" w:hAnsi="Arial" w:cs="Arial"/>
          <w:b/>
          <w:color w:val="000000"/>
        </w:rPr>
      </w:pPr>
    </w:p>
    <w:p w:rsidR="00E027CC" w:rsidRDefault="00E027CC">
      <w:pPr>
        <w:pBdr>
          <w:top w:val="nil"/>
          <w:left w:val="nil"/>
          <w:bottom w:val="nil"/>
          <w:right w:val="nil"/>
          <w:between w:val="nil"/>
        </w:pBdr>
        <w:spacing w:before="60" w:after="60" w:line="240" w:lineRule="auto"/>
        <w:jc w:val="center"/>
        <w:rPr>
          <w:rFonts w:ascii="Arial" w:eastAsia="Arial" w:hAnsi="Arial" w:cs="Arial"/>
          <w:b/>
          <w:color w:val="000000"/>
        </w:rPr>
      </w:pPr>
    </w:p>
    <w:p w:rsidR="00E027CC" w:rsidRDefault="00346DA8">
      <w:pPr>
        <w:pBdr>
          <w:top w:val="nil"/>
          <w:left w:val="nil"/>
          <w:bottom w:val="nil"/>
          <w:right w:val="nil"/>
          <w:between w:val="nil"/>
        </w:pBdr>
        <w:spacing w:before="60" w:after="60" w:line="240" w:lineRule="auto"/>
        <w:jc w:val="center"/>
        <w:rPr>
          <w:rFonts w:ascii="Arial" w:eastAsia="Arial" w:hAnsi="Arial" w:cs="Arial"/>
          <w:b/>
          <w:color w:val="000000"/>
        </w:rPr>
      </w:pPr>
      <w:r>
        <w:rPr>
          <w:rFonts w:ascii="Arial" w:eastAsia="Arial" w:hAnsi="Arial" w:cs="Arial"/>
          <w:b/>
          <w:color w:val="000000"/>
        </w:rPr>
        <w:t>REFERENCE NUMBER</w:t>
      </w:r>
    </w:p>
    <w:p w:rsidR="00E027CC" w:rsidRDefault="00E027CC">
      <w:pPr>
        <w:pBdr>
          <w:top w:val="nil"/>
          <w:left w:val="nil"/>
          <w:bottom w:val="nil"/>
          <w:right w:val="nil"/>
          <w:between w:val="nil"/>
        </w:pBdr>
        <w:spacing w:before="60" w:after="60" w:line="240" w:lineRule="auto"/>
        <w:jc w:val="center"/>
        <w:rPr>
          <w:rFonts w:ascii="Arial" w:eastAsia="Arial" w:hAnsi="Arial" w:cs="Arial"/>
          <w:b/>
          <w:color w:val="000000"/>
        </w:rPr>
      </w:pPr>
    </w:p>
    <w:p w:rsidR="00E027CC" w:rsidRDefault="00346DA8">
      <w:pPr>
        <w:pBdr>
          <w:top w:val="nil"/>
          <w:left w:val="nil"/>
          <w:bottom w:val="nil"/>
          <w:right w:val="nil"/>
          <w:between w:val="nil"/>
        </w:pBdr>
        <w:spacing w:before="60" w:after="60" w:line="240" w:lineRule="auto"/>
        <w:jc w:val="center"/>
        <w:rPr>
          <w:rFonts w:ascii="Arial" w:eastAsia="Arial" w:hAnsi="Arial" w:cs="Arial"/>
          <w:b/>
          <w:color w:val="000000"/>
        </w:rPr>
      </w:pPr>
      <w:r>
        <w:rPr>
          <w:rFonts w:ascii="Arial" w:eastAsia="Arial" w:hAnsi="Arial" w:cs="Arial"/>
          <w:b/>
          <w:color w:val="000000"/>
        </w:rPr>
        <w:t>RM</w:t>
      </w:r>
      <w:r>
        <w:rPr>
          <w:rFonts w:ascii="Arial" w:eastAsia="Arial" w:hAnsi="Arial" w:cs="Arial"/>
          <w:b/>
        </w:rPr>
        <w:t>6107</w:t>
      </w:r>
    </w:p>
    <w:p w:rsidR="00E027CC" w:rsidRDefault="00E027CC">
      <w:pPr>
        <w:pBdr>
          <w:top w:val="nil"/>
          <w:left w:val="nil"/>
          <w:bottom w:val="nil"/>
          <w:right w:val="nil"/>
          <w:between w:val="nil"/>
        </w:pBdr>
        <w:spacing w:before="60" w:after="60" w:line="240" w:lineRule="auto"/>
        <w:jc w:val="center"/>
        <w:rPr>
          <w:rFonts w:ascii="Arial" w:eastAsia="Arial" w:hAnsi="Arial" w:cs="Arial"/>
          <w:b/>
          <w:color w:val="000000"/>
        </w:rPr>
      </w:pPr>
    </w:p>
    <w:p w:rsidR="00E027CC" w:rsidRDefault="00E027CC">
      <w:pPr>
        <w:pBdr>
          <w:top w:val="nil"/>
          <w:left w:val="nil"/>
          <w:bottom w:val="nil"/>
          <w:right w:val="nil"/>
          <w:between w:val="nil"/>
        </w:pBdr>
        <w:spacing w:before="60" w:after="60" w:line="240" w:lineRule="auto"/>
        <w:jc w:val="center"/>
        <w:rPr>
          <w:rFonts w:ascii="Arial" w:eastAsia="Arial" w:hAnsi="Arial" w:cs="Arial"/>
          <w:b/>
          <w:color w:val="000000"/>
        </w:rPr>
      </w:pPr>
    </w:p>
    <w:p w:rsidR="00E027CC" w:rsidRDefault="00346DA8">
      <w:pPr>
        <w:pBdr>
          <w:top w:val="nil"/>
          <w:left w:val="nil"/>
          <w:bottom w:val="nil"/>
          <w:right w:val="nil"/>
          <w:between w:val="nil"/>
        </w:pBdr>
        <w:tabs>
          <w:tab w:val="left" w:pos="888"/>
          <w:tab w:val="center" w:pos="4513"/>
        </w:tabs>
        <w:spacing w:before="60" w:after="60" w:line="240" w:lineRule="auto"/>
        <w:rPr>
          <w:rFonts w:ascii="Arial" w:eastAsia="Arial" w:hAnsi="Arial" w:cs="Arial"/>
          <w:b/>
          <w:color w:val="000000"/>
        </w:rPr>
      </w:pPr>
      <w:r>
        <w:rPr>
          <w:rFonts w:ascii="Arial" w:eastAsia="Arial" w:hAnsi="Arial" w:cs="Arial"/>
          <w:b/>
          <w:color w:val="000000"/>
        </w:rPr>
        <w:tab/>
      </w:r>
      <w:r>
        <w:rPr>
          <w:rFonts w:ascii="Arial" w:eastAsia="Arial" w:hAnsi="Arial" w:cs="Arial"/>
          <w:b/>
          <w:color w:val="000000"/>
        </w:rPr>
        <w:tab/>
        <w:t>ATTACHMENT 1</w:t>
      </w:r>
    </w:p>
    <w:p w:rsidR="00E027CC" w:rsidRDefault="00346DA8">
      <w:r>
        <w:br w:type="page"/>
      </w:r>
    </w:p>
    <w:p w:rsidR="00E027CC" w:rsidRDefault="00346DA8">
      <w:pPr>
        <w:pBdr>
          <w:top w:val="nil"/>
          <w:left w:val="nil"/>
          <w:bottom w:val="nil"/>
          <w:right w:val="nil"/>
          <w:between w:val="nil"/>
        </w:pBdr>
        <w:spacing w:after="120" w:line="240" w:lineRule="auto"/>
        <w:jc w:val="center"/>
        <w:rPr>
          <w:rFonts w:ascii="Arial" w:eastAsia="Arial" w:hAnsi="Arial" w:cs="Arial"/>
          <w:b/>
          <w:color w:val="000000"/>
        </w:rPr>
      </w:pPr>
      <w:r>
        <w:rPr>
          <w:rFonts w:ascii="Arial" w:eastAsia="Arial" w:hAnsi="Arial" w:cs="Arial"/>
          <w:b/>
          <w:color w:val="000000"/>
        </w:rPr>
        <w:lastRenderedPageBreak/>
        <w:t>CONTENTS</w:t>
      </w:r>
    </w:p>
    <w:sdt>
      <w:sdtPr>
        <w:id w:val="-2101393858"/>
        <w:docPartObj>
          <w:docPartGallery w:val="Table of Contents"/>
          <w:docPartUnique/>
        </w:docPartObj>
      </w:sdtPr>
      <w:sdtContent>
        <w:p w:rsidR="00E027CC" w:rsidRDefault="00346DA8">
          <w:pPr>
            <w:pBdr>
              <w:top w:val="nil"/>
              <w:left w:val="nil"/>
              <w:bottom w:val="nil"/>
              <w:right w:val="nil"/>
              <w:between w:val="nil"/>
            </w:pBdr>
            <w:tabs>
              <w:tab w:val="left" w:pos="720"/>
              <w:tab w:val="right" w:pos="9029"/>
            </w:tabs>
            <w:spacing w:after="120" w:line="240" w:lineRule="auto"/>
            <w:ind w:left="720" w:hanging="720"/>
            <w:rPr>
              <w:color w:val="000000"/>
            </w:rPr>
          </w:pPr>
          <w:r>
            <w:fldChar w:fldCharType="begin"/>
          </w:r>
          <w:r>
            <w:instrText xml:space="preserve"> TOC \h \u \z </w:instrText>
          </w:r>
          <w:r>
            <w:fldChar w:fldCharType="separate"/>
          </w:r>
          <w:hyperlink w:anchor="_gjdgxs">
            <w:r>
              <w:rPr>
                <w:rFonts w:ascii="Arial" w:eastAsia="Arial" w:hAnsi="Arial" w:cs="Arial"/>
                <w:smallCaps/>
                <w:color w:val="000000"/>
              </w:rPr>
              <w:t>1.</w:t>
            </w:r>
          </w:hyperlink>
          <w:hyperlink w:anchor="_gjdgxs">
            <w:r>
              <w:rPr>
                <w:color w:val="000000"/>
              </w:rPr>
              <w:tab/>
            </w:r>
          </w:hyperlink>
          <w:r>
            <w:fldChar w:fldCharType="begin"/>
          </w:r>
          <w:r>
            <w:instrText xml:space="preserve"> PAGEREF _gjdgxs \h </w:instrText>
          </w:r>
          <w:r>
            <w:fldChar w:fldCharType="separate"/>
          </w:r>
          <w:r>
            <w:rPr>
              <w:rFonts w:ascii="Arial" w:eastAsia="Arial" w:hAnsi="Arial" w:cs="Arial"/>
              <w:smallCaps/>
            </w:rPr>
            <w:t>INTRODUCTION</w:t>
          </w:r>
          <w:r>
            <w:rPr>
              <w:rFonts w:ascii="Arial" w:eastAsia="Arial" w:hAnsi="Arial" w:cs="Arial"/>
              <w:smallCaps/>
              <w:color w:val="000000"/>
            </w:rPr>
            <w:tab/>
            <w:t>3</w:t>
          </w:r>
          <w:r>
            <w:fldChar w:fldCharType="end"/>
          </w:r>
        </w:p>
        <w:p w:rsidR="00E027CC" w:rsidRDefault="007B20B5">
          <w:pPr>
            <w:pBdr>
              <w:top w:val="nil"/>
              <w:left w:val="nil"/>
              <w:bottom w:val="nil"/>
              <w:right w:val="nil"/>
              <w:between w:val="nil"/>
            </w:pBdr>
            <w:tabs>
              <w:tab w:val="left" w:pos="720"/>
              <w:tab w:val="right" w:pos="9029"/>
            </w:tabs>
            <w:spacing w:after="120" w:line="240" w:lineRule="auto"/>
            <w:ind w:left="720" w:hanging="720"/>
            <w:rPr>
              <w:color w:val="000000"/>
            </w:rPr>
          </w:pPr>
          <w:hyperlink w:anchor="_30j0zll">
            <w:r w:rsidR="00346DA8">
              <w:rPr>
                <w:rFonts w:ascii="Arial" w:eastAsia="Arial" w:hAnsi="Arial" w:cs="Arial"/>
                <w:smallCaps/>
                <w:color w:val="000000"/>
              </w:rPr>
              <w:t>2.</w:t>
            </w:r>
          </w:hyperlink>
          <w:hyperlink w:anchor="_30j0zll">
            <w:r w:rsidR="00346DA8">
              <w:rPr>
                <w:color w:val="000000"/>
              </w:rPr>
              <w:tab/>
            </w:r>
          </w:hyperlink>
          <w:r w:rsidR="00346DA8">
            <w:fldChar w:fldCharType="begin"/>
          </w:r>
          <w:r w:rsidR="00346DA8">
            <w:instrText xml:space="preserve"> PAGEREF _30j0zll \h </w:instrText>
          </w:r>
          <w:r w:rsidR="00346DA8">
            <w:fldChar w:fldCharType="separate"/>
          </w:r>
          <w:r w:rsidR="00346DA8">
            <w:rPr>
              <w:rFonts w:ascii="Arial" w:eastAsia="Arial" w:hAnsi="Arial" w:cs="Arial"/>
              <w:smallCaps/>
              <w:color w:val="000000"/>
            </w:rPr>
            <w:t>THE FRAMEWORK AGREEMENT AND CALL-OFF CONTRACTS</w:t>
          </w:r>
          <w:r w:rsidR="00346DA8">
            <w:rPr>
              <w:rFonts w:ascii="Arial" w:eastAsia="Arial" w:hAnsi="Arial" w:cs="Arial"/>
              <w:smallCaps/>
              <w:color w:val="000000"/>
            </w:rPr>
            <w:tab/>
            <w:t>8</w:t>
          </w:r>
          <w:r w:rsidR="00346DA8">
            <w:fldChar w:fldCharType="end"/>
          </w:r>
        </w:p>
        <w:p w:rsidR="00E027CC" w:rsidRDefault="007B20B5">
          <w:pPr>
            <w:pBdr>
              <w:top w:val="nil"/>
              <w:left w:val="nil"/>
              <w:bottom w:val="nil"/>
              <w:right w:val="nil"/>
              <w:between w:val="nil"/>
            </w:pBdr>
            <w:tabs>
              <w:tab w:val="left" w:pos="720"/>
              <w:tab w:val="right" w:pos="9029"/>
            </w:tabs>
            <w:spacing w:after="120" w:line="240" w:lineRule="auto"/>
            <w:ind w:left="720" w:hanging="720"/>
            <w:rPr>
              <w:color w:val="000000"/>
            </w:rPr>
          </w:pPr>
          <w:hyperlink w:anchor="_3dy6vkm">
            <w:r w:rsidR="00346DA8">
              <w:rPr>
                <w:rFonts w:ascii="Arial" w:eastAsia="Arial" w:hAnsi="Arial" w:cs="Arial"/>
                <w:smallCaps/>
                <w:color w:val="000000"/>
              </w:rPr>
              <w:t>3.</w:t>
            </w:r>
          </w:hyperlink>
          <w:hyperlink w:anchor="_3dy6vkm">
            <w:r w:rsidR="00346DA8">
              <w:rPr>
                <w:color w:val="000000"/>
              </w:rPr>
              <w:tab/>
            </w:r>
          </w:hyperlink>
          <w:r w:rsidR="00346DA8">
            <w:fldChar w:fldCharType="begin"/>
          </w:r>
          <w:r w:rsidR="00346DA8">
            <w:instrText xml:space="preserve"> PAGEREF _3dy6vkm \h </w:instrText>
          </w:r>
          <w:r w:rsidR="00346DA8">
            <w:fldChar w:fldCharType="separate"/>
          </w:r>
          <w:r w:rsidR="00346DA8">
            <w:rPr>
              <w:rFonts w:ascii="Arial" w:eastAsia="Arial" w:hAnsi="Arial" w:cs="Arial"/>
              <w:smallCaps/>
            </w:rPr>
            <w:t>REQUIREMENTS AND LOT STRUCTURE</w:t>
          </w:r>
          <w:r w:rsidR="00346DA8">
            <w:rPr>
              <w:rFonts w:ascii="Arial" w:eastAsia="Arial" w:hAnsi="Arial" w:cs="Arial"/>
              <w:smallCaps/>
              <w:color w:val="000000"/>
            </w:rPr>
            <w:tab/>
            <w:t>10</w:t>
          </w:r>
          <w:r w:rsidR="00346DA8">
            <w:fldChar w:fldCharType="end"/>
          </w:r>
        </w:p>
        <w:p w:rsidR="00E027CC" w:rsidRDefault="007B20B5">
          <w:pPr>
            <w:pBdr>
              <w:top w:val="nil"/>
              <w:left w:val="nil"/>
              <w:bottom w:val="nil"/>
              <w:right w:val="nil"/>
              <w:between w:val="nil"/>
            </w:pBdr>
            <w:tabs>
              <w:tab w:val="left" w:pos="720"/>
              <w:tab w:val="right" w:pos="9029"/>
            </w:tabs>
            <w:spacing w:after="120" w:line="240" w:lineRule="auto"/>
            <w:ind w:left="720" w:hanging="720"/>
            <w:rPr>
              <w:color w:val="000000"/>
            </w:rPr>
          </w:pPr>
          <w:hyperlink w:anchor="_4d34og8">
            <w:r w:rsidR="00346DA8">
              <w:rPr>
                <w:rFonts w:ascii="Arial" w:eastAsia="Arial" w:hAnsi="Arial" w:cs="Arial"/>
                <w:smallCaps/>
                <w:color w:val="000000"/>
              </w:rPr>
              <w:t>4.</w:t>
            </w:r>
          </w:hyperlink>
          <w:hyperlink w:anchor="_4d34og8">
            <w:r w:rsidR="00346DA8">
              <w:rPr>
                <w:color w:val="000000"/>
              </w:rPr>
              <w:tab/>
            </w:r>
          </w:hyperlink>
          <w:r w:rsidR="00346DA8">
            <w:fldChar w:fldCharType="begin"/>
          </w:r>
          <w:r w:rsidR="00346DA8">
            <w:instrText xml:space="preserve"> PAGEREF _4d34og8 \h </w:instrText>
          </w:r>
          <w:r w:rsidR="00346DA8">
            <w:fldChar w:fldCharType="separate"/>
          </w:r>
          <w:r w:rsidR="00346DA8">
            <w:rPr>
              <w:rFonts w:ascii="Arial" w:eastAsia="Arial" w:hAnsi="Arial" w:cs="Arial"/>
              <w:smallCaps/>
            </w:rPr>
            <w:t xml:space="preserve">PROCUREMENT TIMETABLE </w:t>
          </w:r>
          <w:r w:rsidR="00346DA8">
            <w:rPr>
              <w:rFonts w:ascii="Arial" w:eastAsia="Arial" w:hAnsi="Arial" w:cs="Arial"/>
              <w:smallCaps/>
              <w:color w:val="000000"/>
            </w:rPr>
            <w:tab/>
            <w:t>13</w:t>
          </w:r>
          <w:r w:rsidR="00346DA8">
            <w:fldChar w:fldCharType="end"/>
          </w:r>
        </w:p>
        <w:p w:rsidR="00E027CC" w:rsidRDefault="007B20B5">
          <w:pPr>
            <w:pBdr>
              <w:top w:val="nil"/>
              <w:left w:val="nil"/>
              <w:bottom w:val="nil"/>
              <w:right w:val="nil"/>
              <w:between w:val="nil"/>
            </w:pBdr>
            <w:tabs>
              <w:tab w:val="left" w:pos="720"/>
              <w:tab w:val="right" w:pos="9029"/>
            </w:tabs>
            <w:spacing w:after="120" w:line="240" w:lineRule="auto"/>
            <w:ind w:left="720" w:hanging="720"/>
            <w:rPr>
              <w:color w:val="000000"/>
            </w:rPr>
          </w:pPr>
          <w:hyperlink w:anchor="_17dp8vu">
            <w:r w:rsidR="00346DA8">
              <w:rPr>
                <w:rFonts w:ascii="Arial" w:eastAsia="Arial" w:hAnsi="Arial" w:cs="Arial"/>
                <w:smallCaps/>
                <w:color w:val="000000"/>
              </w:rPr>
              <w:t>5.</w:t>
            </w:r>
          </w:hyperlink>
          <w:hyperlink w:anchor="_17dp8vu">
            <w:r w:rsidR="00346DA8">
              <w:rPr>
                <w:color w:val="000000"/>
              </w:rPr>
              <w:tab/>
            </w:r>
          </w:hyperlink>
          <w:r w:rsidR="00346DA8">
            <w:fldChar w:fldCharType="begin"/>
          </w:r>
          <w:r w:rsidR="00346DA8">
            <w:instrText xml:space="preserve"> PAGEREF _17dp8vu \h </w:instrText>
          </w:r>
          <w:r w:rsidR="00346DA8">
            <w:fldChar w:fldCharType="separate"/>
          </w:r>
          <w:r w:rsidR="00346DA8">
            <w:rPr>
              <w:rFonts w:ascii="Arial" w:eastAsia="Arial" w:hAnsi="Arial" w:cs="Arial"/>
              <w:smallCaps/>
            </w:rPr>
            <w:t>COMPLETING AND SUBMITTING A TENDER</w:t>
          </w:r>
          <w:r w:rsidR="00346DA8">
            <w:rPr>
              <w:rFonts w:ascii="Arial" w:eastAsia="Arial" w:hAnsi="Arial" w:cs="Arial"/>
              <w:smallCaps/>
              <w:color w:val="000000"/>
            </w:rPr>
            <w:tab/>
            <w:t>14</w:t>
          </w:r>
          <w:r w:rsidR="00346DA8">
            <w:fldChar w:fldCharType="end"/>
          </w:r>
        </w:p>
        <w:p w:rsidR="00E027CC" w:rsidRDefault="007B20B5">
          <w:pPr>
            <w:pBdr>
              <w:top w:val="nil"/>
              <w:left w:val="nil"/>
              <w:bottom w:val="nil"/>
              <w:right w:val="nil"/>
              <w:between w:val="nil"/>
            </w:pBdr>
            <w:tabs>
              <w:tab w:val="left" w:pos="720"/>
              <w:tab w:val="right" w:pos="9029"/>
            </w:tabs>
            <w:spacing w:after="120" w:line="240" w:lineRule="auto"/>
            <w:ind w:left="720" w:hanging="720"/>
            <w:rPr>
              <w:color w:val="000000"/>
            </w:rPr>
          </w:pPr>
          <w:hyperlink w:anchor="_26in1rg">
            <w:r w:rsidR="00346DA8">
              <w:rPr>
                <w:rFonts w:ascii="Arial" w:eastAsia="Arial" w:hAnsi="Arial" w:cs="Arial"/>
                <w:smallCaps/>
                <w:color w:val="000000"/>
              </w:rPr>
              <w:t>6.</w:t>
            </w:r>
          </w:hyperlink>
          <w:hyperlink w:anchor="_26in1rg">
            <w:r w:rsidR="00346DA8">
              <w:rPr>
                <w:color w:val="000000"/>
              </w:rPr>
              <w:tab/>
            </w:r>
          </w:hyperlink>
          <w:r w:rsidR="00346DA8">
            <w:fldChar w:fldCharType="begin"/>
          </w:r>
          <w:r w:rsidR="00346DA8">
            <w:instrText xml:space="preserve"> PAGEREF _26in1rg \h </w:instrText>
          </w:r>
          <w:r w:rsidR="00346DA8">
            <w:fldChar w:fldCharType="separate"/>
          </w:r>
          <w:r w:rsidR="00346DA8">
            <w:rPr>
              <w:rFonts w:ascii="Arial" w:eastAsia="Arial" w:hAnsi="Arial" w:cs="Arial"/>
              <w:smallCaps/>
              <w:color w:val="000000"/>
            </w:rPr>
            <w:t>CONTRACTING ARRANGEMENTS (</w:t>
          </w:r>
          <w:r w:rsidR="00346DA8">
            <w:rPr>
              <w:rFonts w:ascii="Arial" w:eastAsia="Arial" w:hAnsi="Arial" w:cs="Arial"/>
              <w:smallCaps/>
            </w:rPr>
            <w:t>SUB-CONTRACT</w:t>
          </w:r>
          <w:r w:rsidR="00346DA8">
            <w:rPr>
              <w:rFonts w:ascii="Arial" w:eastAsia="Arial" w:hAnsi="Arial" w:cs="Arial"/>
              <w:smallCaps/>
              <w:color w:val="000000"/>
            </w:rPr>
            <w:t>ORS AND GROUPS OF ECONOMIC OPERATORS)</w:t>
          </w:r>
          <w:r w:rsidR="00346DA8">
            <w:rPr>
              <w:rFonts w:ascii="Arial" w:eastAsia="Arial" w:hAnsi="Arial" w:cs="Arial"/>
              <w:smallCaps/>
              <w:color w:val="000000"/>
            </w:rPr>
            <w:tab/>
            <w:t>17</w:t>
          </w:r>
          <w:r w:rsidR="00346DA8">
            <w:fldChar w:fldCharType="end"/>
          </w:r>
        </w:p>
        <w:p w:rsidR="00E027CC" w:rsidRDefault="007B20B5">
          <w:pPr>
            <w:pBdr>
              <w:top w:val="nil"/>
              <w:left w:val="nil"/>
              <w:bottom w:val="nil"/>
              <w:right w:val="nil"/>
              <w:between w:val="nil"/>
            </w:pBdr>
            <w:tabs>
              <w:tab w:val="left" w:pos="720"/>
              <w:tab w:val="right" w:pos="9029"/>
            </w:tabs>
            <w:spacing w:after="120" w:line="240" w:lineRule="auto"/>
            <w:ind w:left="720" w:hanging="720"/>
            <w:rPr>
              <w:color w:val="000000"/>
            </w:rPr>
          </w:pPr>
          <w:hyperlink w:anchor="_4i7ojhp">
            <w:r w:rsidR="00346DA8">
              <w:rPr>
                <w:rFonts w:ascii="Arial" w:eastAsia="Arial" w:hAnsi="Arial" w:cs="Arial"/>
                <w:smallCaps/>
                <w:color w:val="000000"/>
              </w:rPr>
              <w:t>7.</w:t>
            </w:r>
          </w:hyperlink>
          <w:hyperlink w:anchor="_4i7ojhp">
            <w:r w:rsidR="00346DA8">
              <w:rPr>
                <w:color w:val="000000"/>
              </w:rPr>
              <w:tab/>
            </w:r>
          </w:hyperlink>
          <w:r w:rsidR="00346DA8">
            <w:fldChar w:fldCharType="begin"/>
          </w:r>
          <w:r w:rsidR="00346DA8">
            <w:instrText xml:space="preserve"> PAGEREF _4i7ojhp \h </w:instrText>
          </w:r>
          <w:r w:rsidR="00346DA8">
            <w:fldChar w:fldCharType="separate"/>
          </w:r>
          <w:r w:rsidR="00346DA8">
            <w:rPr>
              <w:rFonts w:ascii="Arial" w:eastAsia="Arial" w:hAnsi="Arial" w:cs="Arial"/>
              <w:smallCaps/>
            </w:rPr>
            <w:t>QUESTIONS AND CLARIFICATION</w:t>
          </w:r>
          <w:r w:rsidR="00346DA8">
            <w:rPr>
              <w:rFonts w:ascii="Arial" w:eastAsia="Arial" w:hAnsi="Arial" w:cs="Arial"/>
              <w:smallCaps/>
              <w:color w:val="000000"/>
            </w:rPr>
            <w:tab/>
            <w:t>20</w:t>
          </w:r>
          <w:r w:rsidR="00346DA8">
            <w:fldChar w:fldCharType="end"/>
          </w:r>
        </w:p>
        <w:p w:rsidR="00E027CC" w:rsidRDefault="007B20B5">
          <w:pPr>
            <w:pBdr>
              <w:top w:val="nil"/>
              <w:left w:val="nil"/>
              <w:bottom w:val="nil"/>
              <w:right w:val="nil"/>
              <w:between w:val="nil"/>
            </w:pBdr>
            <w:tabs>
              <w:tab w:val="left" w:pos="720"/>
              <w:tab w:val="right" w:pos="9029"/>
            </w:tabs>
            <w:spacing w:after="120" w:line="240" w:lineRule="auto"/>
            <w:ind w:left="720" w:hanging="720"/>
            <w:rPr>
              <w:color w:val="000000"/>
            </w:rPr>
          </w:pPr>
          <w:hyperlink w:anchor="_2xcytpi">
            <w:r w:rsidR="00346DA8">
              <w:rPr>
                <w:rFonts w:ascii="Arial" w:eastAsia="Arial" w:hAnsi="Arial" w:cs="Arial"/>
                <w:smallCaps/>
                <w:color w:val="000000"/>
              </w:rPr>
              <w:t>8.</w:t>
            </w:r>
          </w:hyperlink>
          <w:hyperlink w:anchor="_2xcytpi">
            <w:r w:rsidR="00346DA8">
              <w:rPr>
                <w:color w:val="000000"/>
              </w:rPr>
              <w:tab/>
            </w:r>
          </w:hyperlink>
          <w:r w:rsidR="00346DA8">
            <w:fldChar w:fldCharType="begin"/>
          </w:r>
          <w:r w:rsidR="00346DA8">
            <w:instrText xml:space="preserve"> PAGEREF _2xcytpi \h </w:instrText>
          </w:r>
          <w:r w:rsidR="00346DA8">
            <w:fldChar w:fldCharType="separate"/>
          </w:r>
          <w:r w:rsidR="00346DA8">
            <w:rPr>
              <w:rFonts w:ascii="Arial" w:eastAsia="Arial" w:hAnsi="Arial" w:cs="Arial"/>
              <w:smallCaps/>
              <w:color w:val="000000"/>
            </w:rPr>
            <w:t>OVERVIEW OF THE EVALUATION PROCESS</w:t>
          </w:r>
          <w:r w:rsidR="00346DA8">
            <w:rPr>
              <w:rFonts w:ascii="Arial" w:eastAsia="Arial" w:hAnsi="Arial" w:cs="Arial"/>
              <w:smallCaps/>
              <w:color w:val="000000"/>
            </w:rPr>
            <w:tab/>
            <w:t>21</w:t>
          </w:r>
          <w:r w:rsidR="00346DA8">
            <w:fldChar w:fldCharType="end"/>
          </w:r>
        </w:p>
        <w:p w:rsidR="00E027CC" w:rsidRDefault="007B20B5">
          <w:pPr>
            <w:pBdr>
              <w:top w:val="nil"/>
              <w:left w:val="nil"/>
              <w:bottom w:val="nil"/>
              <w:right w:val="nil"/>
              <w:between w:val="nil"/>
            </w:pBdr>
            <w:tabs>
              <w:tab w:val="left" w:pos="720"/>
              <w:tab w:val="right" w:pos="9029"/>
            </w:tabs>
            <w:spacing w:after="120" w:line="240" w:lineRule="auto"/>
            <w:ind w:left="720" w:hanging="720"/>
            <w:rPr>
              <w:color w:val="000000"/>
            </w:rPr>
          </w:pPr>
          <w:hyperlink w:anchor="_49x2ik5">
            <w:r w:rsidR="00346DA8">
              <w:rPr>
                <w:rFonts w:ascii="Arial" w:eastAsia="Arial" w:hAnsi="Arial" w:cs="Arial"/>
                <w:smallCaps/>
                <w:color w:val="000000"/>
              </w:rPr>
              <w:t>9.</w:t>
            </w:r>
          </w:hyperlink>
          <w:hyperlink w:anchor="_49x2ik5">
            <w:r w:rsidR="00346DA8">
              <w:rPr>
                <w:color w:val="000000"/>
              </w:rPr>
              <w:tab/>
            </w:r>
          </w:hyperlink>
          <w:r w:rsidR="00346DA8">
            <w:fldChar w:fldCharType="begin"/>
          </w:r>
          <w:r w:rsidR="00346DA8">
            <w:instrText xml:space="preserve"> PAGEREF _49x2ik5 \h </w:instrText>
          </w:r>
          <w:r w:rsidR="00346DA8">
            <w:fldChar w:fldCharType="separate"/>
          </w:r>
          <w:r w:rsidR="00346DA8">
            <w:rPr>
              <w:rFonts w:ascii="Arial" w:eastAsia="Arial" w:hAnsi="Arial" w:cs="Arial"/>
              <w:smallCaps/>
              <w:color w:val="000000"/>
            </w:rPr>
            <w:t>COMPLIANCE/VALIDATION</w:t>
          </w:r>
          <w:r w:rsidR="00346DA8">
            <w:rPr>
              <w:rFonts w:ascii="Arial" w:eastAsia="Arial" w:hAnsi="Arial" w:cs="Arial"/>
              <w:smallCaps/>
              <w:color w:val="000000"/>
            </w:rPr>
            <w:tab/>
            <w:t>23</w:t>
          </w:r>
          <w:r w:rsidR="00346DA8">
            <w:fldChar w:fldCharType="end"/>
          </w:r>
        </w:p>
        <w:p w:rsidR="00E027CC" w:rsidRDefault="007B20B5">
          <w:pPr>
            <w:pBdr>
              <w:top w:val="nil"/>
              <w:left w:val="nil"/>
              <w:bottom w:val="nil"/>
              <w:right w:val="nil"/>
              <w:between w:val="nil"/>
            </w:pBdr>
            <w:tabs>
              <w:tab w:val="left" w:pos="720"/>
              <w:tab w:val="right" w:pos="9029"/>
            </w:tabs>
            <w:spacing w:after="120" w:line="240" w:lineRule="auto"/>
            <w:ind w:left="720" w:hanging="720"/>
            <w:rPr>
              <w:color w:val="000000"/>
            </w:rPr>
          </w:pPr>
          <w:hyperlink w:anchor="_2p2csry">
            <w:r w:rsidR="00346DA8">
              <w:rPr>
                <w:rFonts w:ascii="Arial" w:eastAsia="Arial" w:hAnsi="Arial" w:cs="Arial"/>
                <w:smallCaps/>
                <w:color w:val="000000"/>
              </w:rPr>
              <w:t>10.</w:t>
            </w:r>
          </w:hyperlink>
          <w:hyperlink w:anchor="_2p2csry">
            <w:r w:rsidR="00346DA8">
              <w:rPr>
                <w:color w:val="000000"/>
              </w:rPr>
              <w:tab/>
            </w:r>
          </w:hyperlink>
          <w:r w:rsidR="00346DA8">
            <w:fldChar w:fldCharType="begin"/>
          </w:r>
          <w:r w:rsidR="00346DA8">
            <w:instrText xml:space="preserve"> PAGEREF _2p2csry \h </w:instrText>
          </w:r>
          <w:r w:rsidR="00346DA8">
            <w:fldChar w:fldCharType="separate"/>
          </w:r>
          <w:r w:rsidR="00346DA8">
            <w:rPr>
              <w:rFonts w:ascii="Arial" w:eastAsia="Arial" w:hAnsi="Arial" w:cs="Arial"/>
              <w:smallCaps/>
              <w:color w:val="000000"/>
            </w:rPr>
            <w:t>SELECTION STAGE EVALUATION</w:t>
          </w:r>
          <w:r w:rsidR="00346DA8">
            <w:rPr>
              <w:rFonts w:ascii="Arial" w:eastAsia="Arial" w:hAnsi="Arial" w:cs="Arial"/>
              <w:smallCaps/>
              <w:color w:val="000000"/>
            </w:rPr>
            <w:tab/>
            <w:t>24</w:t>
          </w:r>
          <w:r w:rsidR="00346DA8">
            <w:fldChar w:fldCharType="end"/>
          </w:r>
        </w:p>
        <w:p w:rsidR="00E027CC" w:rsidRDefault="007B20B5">
          <w:pPr>
            <w:pBdr>
              <w:top w:val="nil"/>
              <w:left w:val="nil"/>
              <w:bottom w:val="nil"/>
              <w:right w:val="nil"/>
              <w:between w:val="nil"/>
            </w:pBdr>
            <w:tabs>
              <w:tab w:val="left" w:pos="720"/>
              <w:tab w:val="right" w:pos="9029"/>
            </w:tabs>
            <w:spacing w:after="120" w:line="240" w:lineRule="auto"/>
            <w:ind w:left="720" w:hanging="720"/>
            <w:rPr>
              <w:color w:val="000000"/>
            </w:rPr>
          </w:pPr>
          <w:hyperlink w:anchor="_1v1yuxt">
            <w:r w:rsidR="00346DA8">
              <w:rPr>
                <w:rFonts w:ascii="Arial" w:eastAsia="Arial" w:hAnsi="Arial" w:cs="Arial"/>
                <w:smallCaps/>
                <w:color w:val="000000"/>
              </w:rPr>
              <w:t>11.</w:t>
            </w:r>
          </w:hyperlink>
          <w:hyperlink w:anchor="_1v1yuxt">
            <w:r w:rsidR="00346DA8">
              <w:rPr>
                <w:color w:val="000000"/>
              </w:rPr>
              <w:tab/>
            </w:r>
          </w:hyperlink>
          <w:r w:rsidR="00346DA8">
            <w:fldChar w:fldCharType="begin"/>
          </w:r>
          <w:r w:rsidR="00346DA8">
            <w:instrText xml:space="preserve"> PAGEREF _1v1yuxt \h </w:instrText>
          </w:r>
          <w:r w:rsidR="00346DA8">
            <w:fldChar w:fldCharType="separate"/>
          </w:r>
          <w:r w:rsidR="00346DA8">
            <w:rPr>
              <w:rFonts w:ascii="Arial" w:eastAsia="Arial" w:hAnsi="Arial" w:cs="Arial"/>
              <w:smallCaps/>
              <w:color w:val="000000"/>
            </w:rPr>
            <w:t>AWARD STAGE EVALUATION</w:t>
          </w:r>
          <w:r w:rsidR="00346DA8">
            <w:rPr>
              <w:rFonts w:ascii="Arial" w:eastAsia="Arial" w:hAnsi="Arial" w:cs="Arial"/>
              <w:smallCaps/>
              <w:color w:val="000000"/>
            </w:rPr>
            <w:tab/>
            <w:t>27</w:t>
          </w:r>
          <w:r w:rsidR="00346DA8">
            <w:fldChar w:fldCharType="end"/>
          </w:r>
        </w:p>
        <w:p w:rsidR="00E027CC" w:rsidRDefault="007B20B5">
          <w:pPr>
            <w:pBdr>
              <w:top w:val="nil"/>
              <w:left w:val="nil"/>
              <w:bottom w:val="nil"/>
              <w:right w:val="nil"/>
              <w:between w:val="nil"/>
            </w:pBdr>
            <w:tabs>
              <w:tab w:val="left" w:pos="720"/>
              <w:tab w:val="right" w:pos="9029"/>
            </w:tabs>
            <w:spacing w:after="120" w:line="240" w:lineRule="auto"/>
            <w:ind w:left="720" w:hanging="720"/>
            <w:rPr>
              <w:color w:val="000000"/>
            </w:rPr>
          </w:pPr>
          <w:hyperlink w:anchor="_28h4qwu">
            <w:r w:rsidR="00346DA8">
              <w:rPr>
                <w:rFonts w:ascii="Arial" w:eastAsia="Arial" w:hAnsi="Arial" w:cs="Arial"/>
                <w:smallCaps/>
                <w:color w:val="000000"/>
              </w:rPr>
              <w:t>12.</w:t>
            </w:r>
          </w:hyperlink>
          <w:hyperlink w:anchor="_28h4qwu">
            <w:r w:rsidR="00346DA8">
              <w:rPr>
                <w:color w:val="000000"/>
              </w:rPr>
              <w:tab/>
            </w:r>
          </w:hyperlink>
          <w:r w:rsidR="00346DA8">
            <w:fldChar w:fldCharType="begin"/>
          </w:r>
          <w:r w:rsidR="00346DA8">
            <w:instrText xml:space="preserve"> PAGEREF _28h4qwu \h </w:instrText>
          </w:r>
          <w:r w:rsidR="00346DA8">
            <w:fldChar w:fldCharType="separate"/>
          </w:r>
          <w:r w:rsidR="00346DA8">
            <w:rPr>
              <w:rFonts w:ascii="Arial" w:eastAsia="Arial" w:hAnsi="Arial" w:cs="Arial"/>
              <w:smallCaps/>
              <w:color w:val="000000"/>
            </w:rPr>
            <w:t xml:space="preserve">FINAL DECISION TO </w:t>
          </w:r>
          <w:r w:rsidR="00346DA8">
            <w:rPr>
              <w:rFonts w:ascii="Arial" w:eastAsia="Arial" w:hAnsi="Arial" w:cs="Arial"/>
              <w:smallCaps/>
            </w:rPr>
            <w:t>AWARD</w:t>
          </w:r>
          <w:r w:rsidR="00346DA8">
            <w:rPr>
              <w:rFonts w:ascii="Arial" w:eastAsia="Arial" w:hAnsi="Arial" w:cs="Arial"/>
              <w:smallCaps/>
              <w:color w:val="000000"/>
            </w:rPr>
            <w:tab/>
            <w:t>52</w:t>
          </w:r>
          <w:r w:rsidR="00346DA8">
            <w:fldChar w:fldCharType="end"/>
          </w:r>
        </w:p>
        <w:p w:rsidR="00E027CC" w:rsidRDefault="007B20B5">
          <w:pPr>
            <w:pBdr>
              <w:top w:val="nil"/>
              <w:left w:val="nil"/>
              <w:bottom w:val="nil"/>
              <w:right w:val="nil"/>
              <w:between w:val="nil"/>
            </w:pBdr>
            <w:tabs>
              <w:tab w:val="left" w:pos="720"/>
              <w:tab w:val="right" w:pos="9029"/>
            </w:tabs>
            <w:spacing w:after="120" w:line="240" w:lineRule="auto"/>
            <w:ind w:left="720" w:hanging="720"/>
            <w:rPr>
              <w:color w:val="000000"/>
            </w:rPr>
          </w:pPr>
          <w:hyperlink w:anchor="_1mrcu09">
            <w:r w:rsidR="00346DA8">
              <w:rPr>
                <w:rFonts w:ascii="Arial" w:eastAsia="Arial" w:hAnsi="Arial" w:cs="Arial"/>
                <w:smallCaps/>
                <w:color w:val="000000"/>
              </w:rPr>
              <w:t>13.</w:t>
            </w:r>
          </w:hyperlink>
          <w:hyperlink w:anchor="_1mrcu09">
            <w:r w:rsidR="00346DA8">
              <w:rPr>
                <w:color w:val="000000"/>
              </w:rPr>
              <w:tab/>
            </w:r>
          </w:hyperlink>
          <w:r w:rsidR="00346DA8">
            <w:fldChar w:fldCharType="begin"/>
          </w:r>
          <w:r w:rsidR="00346DA8">
            <w:instrText xml:space="preserve"> PAGEREF _1mrcu09 \h </w:instrText>
          </w:r>
          <w:r w:rsidR="00346DA8">
            <w:fldChar w:fldCharType="separate"/>
          </w:r>
          <w:r w:rsidR="00346DA8">
            <w:rPr>
              <w:rFonts w:ascii="Arial" w:eastAsia="Arial" w:hAnsi="Arial" w:cs="Arial"/>
              <w:smallCaps/>
              <w:color w:val="000000"/>
            </w:rPr>
            <w:t>GLOSSARY</w:t>
          </w:r>
          <w:r w:rsidR="00346DA8">
            <w:rPr>
              <w:rFonts w:ascii="Arial" w:eastAsia="Arial" w:hAnsi="Arial" w:cs="Arial"/>
              <w:smallCaps/>
              <w:color w:val="000000"/>
            </w:rPr>
            <w:tab/>
            <w:t>54</w:t>
          </w:r>
          <w:r w:rsidR="00346DA8">
            <w:fldChar w:fldCharType="end"/>
          </w:r>
        </w:p>
        <w:p w:rsidR="00E027CC" w:rsidRDefault="00346DA8">
          <w:pPr>
            <w:rPr>
              <w:smallCaps/>
            </w:rPr>
          </w:pPr>
          <w:r>
            <w:fldChar w:fldCharType="end"/>
          </w:r>
        </w:p>
      </w:sdtContent>
    </w:sdt>
    <w:p w:rsidR="00E027CC" w:rsidRDefault="00346DA8">
      <w:pPr>
        <w:rPr>
          <w:rFonts w:ascii="Arial" w:eastAsia="Arial" w:hAnsi="Arial" w:cs="Arial"/>
        </w:rPr>
      </w:pPr>
      <w:r>
        <w:rPr>
          <w:rFonts w:ascii="Arial" w:eastAsia="Arial" w:hAnsi="Arial" w:cs="Arial"/>
        </w:rPr>
        <w:t xml:space="preserve">ATTACHMENT 2 </w:t>
      </w:r>
      <w:r>
        <w:rPr>
          <w:rFonts w:ascii="Arial" w:eastAsia="Arial" w:hAnsi="Arial" w:cs="Arial"/>
        </w:rPr>
        <w:tab/>
        <w:t>PARTICIPATION AND SELECTION QUESTIONNAIRE GUIDANCE</w:t>
      </w:r>
    </w:p>
    <w:p w:rsidR="00E027CC" w:rsidRDefault="00346DA8">
      <w:pPr>
        <w:ind w:left="2160" w:hanging="2160"/>
        <w:rPr>
          <w:rFonts w:ascii="Arial" w:eastAsia="Arial" w:hAnsi="Arial" w:cs="Arial"/>
        </w:rPr>
      </w:pPr>
      <w:r>
        <w:rPr>
          <w:rFonts w:ascii="Arial" w:eastAsia="Arial" w:hAnsi="Arial" w:cs="Arial"/>
        </w:rPr>
        <w:t xml:space="preserve">ATTACHMENT 3 </w:t>
      </w:r>
      <w:r>
        <w:rPr>
          <w:rFonts w:ascii="Arial" w:eastAsia="Arial" w:hAnsi="Arial" w:cs="Arial"/>
        </w:rPr>
        <w:tab/>
        <w:t>AWARD QUESTIONNAIRE AND EVALUATION GUIDANCE</w:t>
      </w:r>
    </w:p>
    <w:p w:rsidR="00E027CC" w:rsidRDefault="00346DA8">
      <w:pPr>
        <w:rPr>
          <w:rFonts w:ascii="Arial" w:eastAsia="Arial" w:hAnsi="Arial" w:cs="Arial"/>
        </w:rPr>
      </w:pPr>
      <w:r>
        <w:rPr>
          <w:rFonts w:ascii="Arial" w:eastAsia="Arial" w:hAnsi="Arial" w:cs="Arial"/>
        </w:rPr>
        <w:t xml:space="preserve">ATTACHMENT 4 </w:t>
      </w:r>
      <w:r>
        <w:rPr>
          <w:rFonts w:ascii="Arial" w:eastAsia="Arial" w:hAnsi="Arial" w:cs="Arial"/>
        </w:rPr>
        <w:tab/>
        <w:t xml:space="preserve">FRAMEWORK AGREEMENT </w:t>
      </w:r>
    </w:p>
    <w:p w:rsidR="00E027CC" w:rsidRDefault="00346DA8">
      <w:pPr>
        <w:rPr>
          <w:rFonts w:ascii="Arial" w:eastAsia="Arial" w:hAnsi="Arial" w:cs="Arial"/>
        </w:rPr>
      </w:pPr>
      <w:r>
        <w:rPr>
          <w:rFonts w:ascii="Arial" w:eastAsia="Arial" w:hAnsi="Arial" w:cs="Arial"/>
        </w:rPr>
        <w:t>ATTACHMENT 4a</w:t>
      </w:r>
      <w:r>
        <w:rPr>
          <w:rFonts w:ascii="Arial" w:eastAsia="Arial" w:hAnsi="Arial" w:cs="Arial"/>
        </w:rPr>
        <w:tab/>
        <w:t>FRAMEWORK SCHEDULE 2, PART A: GOODS AND SERVICES</w:t>
      </w:r>
    </w:p>
    <w:p w:rsidR="00E027CC" w:rsidRDefault="00346DA8">
      <w:pPr>
        <w:rPr>
          <w:rFonts w:ascii="Arial" w:eastAsia="Arial" w:hAnsi="Arial" w:cs="Arial"/>
        </w:rPr>
      </w:pPr>
      <w:r>
        <w:rPr>
          <w:rFonts w:ascii="Arial" w:eastAsia="Arial" w:hAnsi="Arial" w:cs="Arial"/>
        </w:rPr>
        <w:t xml:space="preserve">ATTACHMENT 5 </w:t>
      </w:r>
      <w:r>
        <w:rPr>
          <w:rFonts w:ascii="Arial" w:eastAsia="Arial" w:hAnsi="Arial" w:cs="Arial"/>
        </w:rPr>
        <w:tab/>
        <w:t xml:space="preserve">CALL OFF CONTRACT </w:t>
      </w:r>
    </w:p>
    <w:p w:rsidR="00E027CC" w:rsidRDefault="00346DA8">
      <w:pPr>
        <w:rPr>
          <w:rFonts w:ascii="Arial" w:eastAsia="Arial" w:hAnsi="Arial" w:cs="Arial"/>
        </w:rPr>
      </w:pPr>
      <w:r>
        <w:rPr>
          <w:rFonts w:ascii="Arial" w:eastAsia="Arial" w:hAnsi="Arial" w:cs="Arial"/>
        </w:rPr>
        <w:t xml:space="preserve">ATTACHMENT 6 </w:t>
      </w:r>
      <w:r>
        <w:rPr>
          <w:rFonts w:ascii="Arial" w:eastAsia="Arial" w:hAnsi="Arial" w:cs="Arial"/>
        </w:rPr>
        <w:tab/>
        <w:t>TERMS OF PARTICIPATION AND DECLARATION OF COMPLIANCE</w:t>
      </w:r>
    </w:p>
    <w:p w:rsidR="00E027CC" w:rsidRDefault="00346DA8">
      <w:pPr>
        <w:rPr>
          <w:rFonts w:ascii="Arial" w:eastAsia="Arial" w:hAnsi="Arial" w:cs="Arial"/>
        </w:rPr>
      </w:pPr>
      <w:r>
        <w:rPr>
          <w:rFonts w:ascii="Arial" w:eastAsia="Arial" w:hAnsi="Arial" w:cs="Arial"/>
        </w:rPr>
        <w:t xml:space="preserve">ATTACHMENT 7 </w:t>
      </w:r>
      <w:r>
        <w:rPr>
          <w:rFonts w:ascii="Arial" w:eastAsia="Arial" w:hAnsi="Arial" w:cs="Arial"/>
        </w:rPr>
        <w:tab/>
        <w:t>INFORMATION AND DECLARATION WORKBOOK, CONSORTIA AND KEY SUB-CONTRACTOR DETAILS</w:t>
      </w:r>
    </w:p>
    <w:p w:rsidR="00E027CC" w:rsidRDefault="00346DA8">
      <w:pPr>
        <w:rPr>
          <w:rFonts w:ascii="Arial" w:eastAsia="Arial" w:hAnsi="Arial" w:cs="Arial"/>
        </w:rPr>
      </w:pPr>
      <w:r>
        <w:rPr>
          <w:rFonts w:ascii="Arial" w:eastAsia="Arial" w:hAnsi="Arial" w:cs="Arial"/>
        </w:rPr>
        <w:t>ATTACHMENT 8</w:t>
      </w:r>
      <w:r>
        <w:rPr>
          <w:rFonts w:ascii="Arial" w:eastAsia="Arial" w:hAnsi="Arial" w:cs="Arial"/>
        </w:rPr>
        <w:tab/>
      </w:r>
      <w:proofErr w:type="spellStart"/>
      <w:r>
        <w:rPr>
          <w:rFonts w:ascii="Arial" w:eastAsia="Arial" w:hAnsi="Arial" w:cs="Arial"/>
        </w:rPr>
        <w:t>eSOURCING</w:t>
      </w:r>
      <w:proofErr w:type="spellEnd"/>
      <w:r>
        <w:rPr>
          <w:rFonts w:ascii="Arial" w:eastAsia="Arial" w:hAnsi="Arial" w:cs="Arial"/>
        </w:rPr>
        <w:t xml:space="preserve"> SUITE GUIDANCE </w:t>
      </w:r>
    </w:p>
    <w:p w:rsidR="00E027CC" w:rsidRDefault="00346DA8">
      <w:pPr>
        <w:ind w:left="2160" w:hanging="2160"/>
        <w:rPr>
          <w:rFonts w:ascii="Arial" w:eastAsia="Arial" w:hAnsi="Arial" w:cs="Arial"/>
        </w:rPr>
      </w:pPr>
      <w:r>
        <w:rPr>
          <w:rFonts w:ascii="Arial" w:eastAsia="Arial" w:hAnsi="Arial" w:cs="Arial"/>
        </w:rPr>
        <w:t xml:space="preserve">ATTACHMENT 9 </w:t>
      </w:r>
      <w:r>
        <w:rPr>
          <w:rFonts w:ascii="Arial" w:eastAsia="Arial" w:hAnsi="Arial" w:cs="Arial"/>
        </w:rPr>
        <w:tab/>
        <w:t>PRICING MATRIX</w:t>
      </w:r>
    </w:p>
    <w:p w:rsidR="00E027CC" w:rsidRDefault="00346DA8">
      <w:pPr>
        <w:ind w:left="2160" w:hanging="2160"/>
        <w:rPr>
          <w:rFonts w:ascii="Arial" w:eastAsia="Arial" w:hAnsi="Arial" w:cs="Arial"/>
        </w:rPr>
      </w:pPr>
      <w:r>
        <w:rPr>
          <w:rFonts w:ascii="Arial" w:eastAsia="Arial" w:hAnsi="Arial" w:cs="Arial"/>
        </w:rPr>
        <w:t xml:space="preserve">ATTACHMENT 10 </w:t>
      </w:r>
      <w:r>
        <w:rPr>
          <w:rFonts w:ascii="Arial" w:eastAsia="Arial" w:hAnsi="Arial" w:cs="Arial"/>
        </w:rPr>
        <w:tab/>
        <w:t>FINANCIAL ASSESSMENT TEMPLATE</w:t>
      </w:r>
    </w:p>
    <w:p w:rsidR="00E027CC" w:rsidRDefault="00346DA8">
      <w:pPr>
        <w:ind w:left="2160" w:hanging="2160"/>
        <w:rPr>
          <w:rFonts w:ascii="Arial" w:eastAsia="Arial" w:hAnsi="Arial" w:cs="Arial"/>
        </w:rPr>
      </w:pPr>
      <w:r>
        <w:rPr>
          <w:rFonts w:ascii="Arial" w:eastAsia="Arial" w:hAnsi="Arial" w:cs="Arial"/>
        </w:rPr>
        <w:t>ATTACHMENT 11</w:t>
      </w:r>
      <w:r>
        <w:rPr>
          <w:rFonts w:ascii="Arial" w:eastAsia="Arial" w:hAnsi="Arial" w:cs="Arial"/>
        </w:rPr>
        <w:tab/>
        <w:t>FRAMEWORK POPULATION TEMPLATE</w:t>
      </w:r>
    </w:p>
    <w:p w:rsidR="00E027CC" w:rsidRDefault="00E027CC">
      <w:pPr>
        <w:ind w:left="2160" w:hanging="2160"/>
        <w:rPr>
          <w:rFonts w:ascii="Arial" w:eastAsia="Arial" w:hAnsi="Arial" w:cs="Arial"/>
        </w:rPr>
      </w:pPr>
    </w:p>
    <w:p w:rsidR="00E027CC" w:rsidRDefault="00346DA8" w:rsidP="00FB781C">
      <w:pPr>
        <w:pStyle w:val="Heading1"/>
        <w:numPr>
          <w:ilvl w:val="0"/>
          <w:numId w:val="3"/>
        </w:numPr>
        <w:rPr>
          <w:sz w:val="22"/>
          <w:szCs w:val="22"/>
        </w:rPr>
      </w:pPr>
      <w:bookmarkStart w:id="1" w:name="_gjdgxs" w:colFirst="0" w:colLast="0"/>
      <w:bookmarkEnd w:id="1"/>
      <w:r>
        <w:rPr>
          <w:sz w:val="22"/>
          <w:szCs w:val="22"/>
        </w:rPr>
        <w:t>INTRODUCTION</w:t>
      </w:r>
    </w:p>
    <w:p w:rsidR="00E027CC" w:rsidRDefault="00346DA8" w:rsidP="00FB781C">
      <w:pPr>
        <w:pStyle w:val="Heading2"/>
        <w:numPr>
          <w:ilvl w:val="1"/>
          <w:numId w:val="3"/>
        </w:numPr>
      </w:pPr>
      <w:r>
        <w:rPr>
          <w:sz w:val="22"/>
          <w:szCs w:val="22"/>
        </w:rPr>
        <w:t xml:space="preserve">Welcome to this Procurement which is being managed by Crown Commercial Service. Crown Commercial Service is referred to as the Authority (or “we”) in this Invitation to </w:t>
      </w:r>
      <w:r>
        <w:rPr>
          <w:sz w:val="22"/>
          <w:szCs w:val="22"/>
        </w:rPr>
        <w:lastRenderedPageBreak/>
        <w:t xml:space="preserve">Tender, and you, along with other organisations participating in this Procurement, are referred to as Potential Providers. </w:t>
      </w:r>
    </w:p>
    <w:p w:rsidR="00E027CC" w:rsidRDefault="00346DA8" w:rsidP="00FB781C">
      <w:pPr>
        <w:pStyle w:val="Heading2"/>
        <w:numPr>
          <w:ilvl w:val="1"/>
          <w:numId w:val="3"/>
        </w:numPr>
      </w:pPr>
      <w:r>
        <w:rPr>
          <w:sz w:val="22"/>
          <w:szCs w:val="22"/>
        </w:rPr>
        <w:t>This Procurement will establish a single supplier Framework Agreement for the delivery of an apprenticeship programme.</w:t>
      </w:r>
    </w:p>
    <w:p w:rsidR="00E027CC" w:rsidRDefault="00346DA8" w:rsidP="00FB781C">
      <w:pPr>
        <w:pStyle w:val="Heading2"/>
        <w:numPr>
          <w:ilvl w:val="1"/>
          <w:numId w:val="3"/>
        </w:numPr>
      </w:pPr>
      <w:r>
        <w:rPr>
          <w:sz w:val="22"/>
          <w:szCs w:val="22"/>
        </w:rPr>
        <w:t>The Authority is putting in place a pan government Framework Agreement for the delivery of the Professional Economist Integrated Degree Apprenticeship (RM6107).</w:t>
      </w:r>
    </w:p>
    <w:p w:rsidR="00E027CC" w:rsidRDefault="00346DA8" w:rsidP="00FB781C">
      <w:pPr>
        <w:pStyle w:val="Heading2"/>
        <w:numPr>
          <w:ilvl w:val="1"/>
          <w:numId w:val="3"/>
        </w:numPr>
      </w:pPr>
      <w:r>
        <w:rPr>
          <w:sz w:val="22"/>
          <w:szCs w:val="22"/>
        </w:rPr>
        <w:t xml:space="preserve">The duration of the Framework Agreement is two (2) years with the option to extend the initial Framework period for a maximum two (2) years, made up of two (2) successive periods of 12 months. </w:t>
      </w:r>
    </w:p>
    <w:p w:rsidR="00E027CC" w:rsidRDefault="00346DA8" w:rsidP="00FB781C">
      <w:pPr>
        <w:pStyle w:val="Heading2"/>
        <w:numPr>
          <w:ilvl w:val="1"/>
          <w:numId w:val="3"/>
        </w:numPr>
      </w:pPr>
      <w:r>
        <w:rPr>
          <w:sz w:val="22"/>
          <w:szCs w:val="22"/>
        </w:rPr>
        <w:t xml:space="preserve">This Framework Agreement comprises of one (1) single lot and is accessible to UK public sector bodies as described in the OJEU Contract Notice. </w:t>
      </w:r>
    </w:p>
    <w:p w:rsidR="00E027CC" w:rsidRDefault="00346DA8" w:rsidP="00FB781C">
      <w:pPr>
        <w:pStyle w:val="Heading2"/>
        <w:numPr>
          <w:ilvl w:val="1"/>
          <w:numId w:val="3"/>
        </w:numPr>
      </w:pPr>
      <w:r>
        <w:rPr>
          <w:sz w:val="22"/>
          <w:szCs w:val="22"/>
        </w:rPr>
        <w:t>The purpose of Framework Schedule 2, Part A: Goods and Services (Attachment 4a) is to provide a description of the Goods and Services that the Supplier shall be required to deliver to the Contracting Authorities under this Framework Agreement.</w:t>
      </w:r>
    </w:p>
    <w:p w:rsidR="00E027CC" w:rsidRDefault="00346DA8" w:rsidP="00FB781C">
      <w:pPr>
        <w:pStyle w:val="Heading2"/>
        <w:numPr>
          <w:ilvl w:val="1"/>
          <w:numId w:val="3"/>
        </w:numPr>
      </w:pPr>
      <w:r>
        <w:rPr>
          <w:sz w:val="22"/>
          <w:szCs w:val="22"/>
        </w:rPr>
        <w:t>The Goods and Services required under this Framework Agreement and all standards set out in Framework Schedule 2, Part A: Goods and Services may be refined (to the extent permitted and set out in Framework Schedule 5 (Call Off Procedure) by a Contracting Authority during a Call Off Procedure to reflect its Service requirements for entering a particular Call Off Contract.</w:t>
      </w:r>
    </w:p>
    <w:p w:rsidR="0011267C" w:rsidRDefault="00346DA8" w:rsidP="00FB781C">
      <w:pPr>
        <w:pStyle w:val="Heading2"/>
        <w:numPr>
          <w:ilvl w:val="1"/>
          <w:numId w:val="3"/>
        </w:numPr>
        <w:rPr>
          <w:sz w:val="22"/>
          <w:szCs w:val="22"/>
        </w:rPr>
      </w:pPr>
      <w:r>
        <w:rPr>
          <w:sz w:val="22"/>
          <w:szCs w:val="22"/>
        </w:rPr>
        <w:t>The Authority shall manage the Framework Agreement centrally and Contracting Authorities</w:t>
      </w:r>
      <w:r w:rsidR="0011267C">
        <w:rPr>
          <w:sz w:val="22"/>
          <w:szCs w:val="22"/>
        </w:rPr>
        <w:t xml:space="preserve"> shall manage their own Call-Off Contracts.</w:t>
      </w:r>
    </w:p>
    <w:p w:rsidR="00E027CC" w:rsidRDefault="00346DA8" w:rsidP="00FB781C">
      <w:pPr>
        <w:pStyle w:val="Heading2"/>
        <w:numPr>
          <w:ilvl w:val="1"/>
          <w:numId w:val="3"/>
        </w:numPr>
      </w:pPr>
      <w:r>
        <w:rPr>
          <w:sz w:val="22"/>
          <w:szCs w:val="22"/>
        </w:rPr>
        <w:t>The Authority does</w:t>
      </w:r>
      <w:r w:rsidR="0011267C">
        <w:rPr>
          <w:sz w:val="22"/>
          <w:szCs w:val="22"/>
        </w:rPr>
        <w:t xml:space="preserve"> not warrant that each </w:t>
      </w:r>
      <w:proofErr w:type="spellStart"/>
      <w:r w:rsidR="0011267C">
        <w:rPr>
          <w:sz w:val="22"/>
          <w:szCs w:val="22"/>
        </w:rPr>
        <w:t>Contract</w:t>
      </w:r>
      <w:r>
        <w:rPr>
          <w:sz w:val="22"/>
          <w:szCs w:val="22"/>
        </w:rPr>
        <w:t>ng</w:t>
      </w:r>
      <w:proofErr w:type="spellEnd"/>
      <w:r>
        <w:rPr>
          <w:sz w:val="22"/>
          <w:szCs w:val="22"/>
        </w:rPr>
        <w:t xml:space="preserve"> Authority will always use the Framework Agreement to purchase the Goods and Services or enter into a Call </w:t>
      </w:r>
      <w:proofErr w:type="gramStart"/>
      <w:r>
        <w:rPr>
          <w:sz w:val="22"/>
          <w:szCs w:val="22"/>
        </w:rPr>
        <w:t>Off</w:t>
      </w:r>
      <w:proofErr w:type="gramEnd"/>
      <w:r>
        <w:rPr>
          <w:sz w:val="22"/>
          <w:szCs w:val="22"/>
        </w:rPr>
        <w:t xml:space="preserve"> Contract.</w:t>
      </w:r>
    </w:p>
    <w:p w:rsidR="00E027CC" w:rsidRDefault="00346DA8" w:rsidP="00FB781C">
      <w:pPr>
        <w:pStyle w:val="Heading2"/>
        <w:numPr>
          <w:ilvl w:val="1"/>
          <w:numId w:val="3"/>
        </w:numPr>
      </w:pPr>
      <w:r>
        <w:rPr>
          <w:sz w:val="22"/>
          <w:szCs w:val="22"/>
        </w:rPr>
        <w:t>Nothing herein is intended nor shall be construed as creating any exclusive arrangement with the Supplier. This Framework Agreement shall not restrict Contracting Authorities from acquiring similar, equal or like goods and services from other entities or sources.</w:t>
      </w:r>
    </w:p>
    <w:p w:rsidR="00E027CC" w:rsidRDefault="00346DA8" w:rsidP="00FB781C">
      <w:pPr>
        <w:pStyle w:val="Heading2"/>
        <w:numPr>
          <w:ilvl w:val="1"/>
          <w:numId w:val="3"/>
        </w:numPr>
      </w:pPr>
      <w:r>
        <w:rPr>
          <w:sz w:val="22"/>
          <w:szCs w:val="22"/>
        </w:rPr>
        <w:t>No guarantee is given by the Authority in respect of the levels or aggregate value of the Goods and Services, which Contracting Authorities shall require the Supplier to provide during the Framework Agreement Period.  Any levels or aggregate values of Goods and Services referred to in the Schedules are indicative only and shall not be binding on the Authority</w:t>
      </w:r>
    </w:p>
    <w:p w:rsidR="00E027CC" w:rsidRDefault="00346DA8" w:rsidP="00FB781C">
      <w:pPr>
        <w:pStyle w:val="Heading2"/>
        <w:numPr>
          <w:ilvl w:val="1"/>
          <w:numId w:val="3"/>
        </w:numPr>
      </w:pPr>
      <w:r>
        <w:rPr>
          <w:sz w:val="22"/>
          <w:szCs w:val="22"/>
        </w:rPr>
        <w:t>This Attachment 1 – Invitation to Tender (ITT) contains the information and instructions that you need to submit a compliant Tender. Words in this ITT which are capitalised have definitions either in the paragraph in which such words appear or in the glossary at</w:t>
      </w:r>
      <w:r w:rsidRPr="00FB781C">
        <w:rPr>
          <w:sz w:val="22"/>
        </w:rPr>
        <w:t xml:space="preserve"> paragraph 15.</w:t>
      </w:r>
    </w:p>
    <w:p w:rsidR="00E027CC" w:rsidRDefault="00346DA8" w:rsidP="00FB781C">
      <w:pPr>
        <w:pStyle w:val="Heading2"/>
        <w:numPr>
          <w:ilvl w:val="1"/>
          <w:numId w:val="3"/>
        </w:numPr>
      </w:pPr>
      <w:r>
        <w:rPr>
          <w:sz w:val="22"/>
          <w:szCs w:val="22"/>
        </w:rPr>
        <w:t xml:space="preserve">Please read this ITT carefully as non-compliance with the instructions contained in this document and all its Attachments may result in exclusion of your Tender from this Procurement. If you have read all the instructions and information carefully but are still unsure at any point how to respond, please submit a question as described in </w:t>
      </w:r>
      <w:r w:rsidRPr="00FB781C">
        <w:rPr>
          <w:sz w:val="22"/>
        </w:rPr>
        <w:t>paragraph 7.</w:t>
      </w:r>
    </w:p>
    <w:p w:rsidR="00E027CC" w:rsidRDefault="00346DA8" w:rsidP="00FB781C">
      <w:pPr>
        <w:pStyle w:val="Heading2"/>
        <w:numPr>
          <w:ilvl w:val="1"/>
          <w:numId w:val="3"/>
        </w:numPr>
      </w:pPr>
      <w:r>
        <w:rPr>
          <w:sz w:val="22"/>
          <w:szCs w:val="22"/>
        </w:rPr>
        <w:t>The Terms of Participation at Attachment 6 will apply throughout this Procurement. They set out further rights and obligations which apply to you and the Authority. You must confirm in the online ‘Key Participation Requirements’ section that you accept the Terms of Participation. If you do not answer Yes to this acceptance you will be excluded from this Procurement.</w:t>
      </w:r>
    </w:p>
    <w:p w:rsidR="00E027CC" w:rsidRDefault="00346DA8" w:rsidP="00FB781C">
      <w:pPr>
        <w:pStyle w:val="Heading2"/>
        <w:numPr>
          <w:ilvl w:val="1"/>
          <w:numId w:val="3"/>
        </w:numPr>
      </w:pPr>
      <w:r>
        <w:rPr>
          <w:sz w:val="22"/>
          <w:szCs w:val="22"/>
        </w:rPr>
        <w:lastRenderedPageBreak/>
        <w:t>If you are participating in this Procurement as a member of a Group of Economic Operators, or are using Sub-Contractors please read the guidance in paragraph 6.</w:t>
      </w:r>
    </w:p>
    <w:p w:rsidR="00E027CC" w:rsidRDefault="00346DA8" w:rsidP="00FB781C">
      <w:pPr>
        <w:pStyle w:val="Heading2"/>
        <w:numPr>
          <w:ilvl w:val="1"/>
          <w:numId w:val="3"/>
        </w:numPr>
      </w:pPr>
      <w:r>
        <w:rPr>
          <w:sz w:val="22"/>
          <w:szCs w:val="22"/>
        </w:rPr>
        <w:t>The Authority is using an e-Sourcing Suite to manage this Procurement and to communicate with you. No hard copy documents will be issued and all communications with the Authority (including the submission of Tenders) will be conducted via the e-Sourcing Suite. You must ensure that the details of the point of contact you nominate in the e-Sourcing Suite are accurate at all times as the Authority will not be under any obligation to contact any other point of contact.</w:t>
      </w:r>
    </w:p>
    <w:p w:rsidR="00E027CC" w:rsidRDefault="00346DA8" w:rsidP="00FB781C">
      <w:pPr>
        <w:pStyle w:val="Heading2"/>
        <w:numPr>
          <w:ilvl w:val="1"/>
          <w:numId w:val="3"/>
        </w:numPr>
      </w:pPr>
      <w:r>
        <w:rPr>
          <w:sz w:val="22"/>
          <w:szCs w:val="22"/>
        </w:rPr>
        <w:t xml:space="preserve">The </w:t>
      </w:r>
      <w:proofErr w:type="spellStart"/>
      <w:r>
        <w:rPr>
          <w:sz w:val="22"/>
          <w:szCs w:val="22"/>
        </w:rPr>
        <w:t>eSourcing</w:t>
      </w:r>
      <w:proofErr w:type="spellEnd"/>
      <w:r>
        <w:rPr>
          <w:sz w:val="22"/>
          <w:szCs w:val="22"/>
        </w:rPr>
        <w:t xml:space="preserve"> Suite messaging service facilitates all messages sent to you (from the Authority) and from you (to the Authority) in relation to this Procurement. Please note that it is your responsibility to ensure that you access these messages through the </w:t>
      </w:r>
      <w:proofErr w:type="spellStart"/>
      <w:r>
        <w:rPr>
          <w:sz w:val="22"/>
          <w:szCs w:val="22"/>
        </w:rPr>
        <w:t>eSourcing</w:t>
      </w:r>
      <w:proofErr w:type="spellEnd"/>
      <w:r>
        <w:rPr>
          <w:sz w:val="22"/>
          <w:szCs w:val="22"/>
        </w:rPr>
        <w:t xml:space="preserve"> Suite on a regular basis to ensure you have sight of all relevant information and have access to all messages sent to you by the Authority.</w:t>
      </w:r>
    </w:p>
    <w:p w:rsidR="00E027CC" w:rsidRDefault="00346DA8" w:rsidP="00FB781C">
      <w:pPr>
        <w:pStyle w:val="Heading2"/>
        <w:numPr>
          <w:ilvl w:val="1"/>
          <w:numId w:val="3"/>
        </w:numPr>
      </w:pPr>
      <w:r>
        <w:rPr>
          <w:sz w:val="22"/>
          <w:szCs w:val="22"/>
        </w:rPr>
        <w:t>Your responses to the Selection Questionnaire (Attachment 2) and the Award Questionnaire (Attachment 3) have been designed to be completed online in the e-Sourcing Suite. Guidance on how to use the e-Sourcing Suite can be found at Attachment 8.</w:t>
      </w:r>
    </w:p>
    <w:p w:rsidR="00557147" w:rsidRPr="00557147" w:rsidRDefault="00346DA8" w:rsidP="00557147">
      <w:pPr>
        <w:pStyle w:val="Heading2"/>
        <w:numPr>
          <w:ilvl w:val="1"/>
          <w:numId w:val="3"/>
        </w:numPr>
      </w:pPr>
      <w:r>
        <w:rPr>
          <w:sz w:val="22"/>
          <w:szCs w:val="22"/>
        </w:rPr>
        <w:t xml:space="preserve">You are welcome to ask questions or seek clarification regarding this Procurement. See </w:t>
      </w:r>
      <w:r w:rsidRPr="007B20B5">
        <w:rPr>
          <w:sz w:val="22"/>
          <w:szCs w:val="22"/>
        </w:rPr>
        <w:t>paragraph 7</w:t>
      </w:r>
      <w:r>
        <w:rPr>
          <w:sz w:val="22"/>
          <w:szCs w:val="22"/>
        </w:rPr>
        <w:t xml:space="preserve"> for details on how to do so. Please make sure you have read all the ITT information and instructions carefully first.</w:t>
      </w:r>
      <w:r w:rsidR="00557147" w:rsidRPr="007B20B5">
        <w:rPr>
          <w:sz w:val="22"/>
          <w:szCs w:val="22"/>
        </w:rPr>
        <w:br/>
      </w:r>
    </w:p>
    <w:p w:rsidR="00E027CC" w:rsidRDefault="00346DA8" w:rsidP="00FB781C">
      <w:pPr>
        <w:pStyle w:val="Heading2"/>
        <w:numPr>
          <w:ilvl w:val="1"/>
          <w:numId w:val="3"/>
        </w:numPr>
      </w:pPr>
      <w:r>
        <w:rPr>
          <w:sz w:val="22"/>
          <w:szCs w:val="22"/>
        </w:rPr>
        <w:t xml:space="preserve">The procurement relates to </w:t>
      </w:r>
      <w:r w:rsidR="00557147">
        <w:rPr>
          <w:sz w:val="22"/>
          <w:szCs w:val="22"/>
        </w:rPr>
        <w:t xml:space="preserve">training and related services for the delivery of the Professional Economist Integrated Degree Apprenticeship, which are </w:t>
      </w:r>
      <w:r>
        <w:rPr>
          <w:sz w:val="22"/>
          <w:szCs w:val="22"/>
        </w:rPr>
        <w:t>Educational Services listed in Schedule 3 of the Public Contracts Regulations (PCR) 2015 as a specific Service.  The procurement is being conducted under the Light Touch Regime ('LTR') therefore subject to limited regulation and will be conducted in accordance with regulations 74 to 76 PCR 2015.</w:t>
      </w:r>
    </w:p>
    <w:p w:rsidR="00E027CC" w:rsidRPr="00FB781C" w:rsidRDefault="00346DA8" w:rsidP="00FB781C">
      <w:pPr>
        <w:pStyle w:val="Heading2"/>
        <w:numPr>
          <w:ilvl w:val="1"/>
          <w:numId w:val="3"/>
        </w:numPr>
      </w:pPr>
      <w:r>
        <w:rPr>
          <w:color w:val="222222"/>
          <w:sz w:val="22"/>
          <w:szCs w:val="22"/>
        </w:rPr>
        <w:t>If a Potential Provider submits more than one Tender, the Authority reserves the right to disqualify one or all of the Tenders,</w:t>
      </w:r>
    </w:p>
    <w:p w:rsidR="00EB53CA" w:rsidRDefault="00346DA8" w:rsidP="00EB53CA">
      <w:pPr>
        <w:pStyle w:val="Heading2"/>
        <w:numPr>
          <w:ilvl w:val="1"/>
          <w:numId w:val="3"/>
        </w:numPr>
      </w:pPr>
      <w:r>
        <w:rPr>
          <w:b/>
          <w:color w:val="222222"/>
          <w:sz w:val="22"/>
          <w:szCs w:val="22"/>
        </w:rPr>
        <w:t>BACKGROUND TO THE REQUIREMENT</w:t>
      </w:r>
    </w:p>
    <w:p w:rsidR="00EB53CA" w:rsidRDefault="00EB53CA" w:rsidP="00EB53CA">
      <w:pPr>
        <w:pStyle w:val="Heading3"/>
        <w:numPr>
          <w:ilvl w:val="2"/>
          <w:numId w:val="3"/>
        </w:numPr>
        <w:ind w:left="1706" w:hanging="713"/>
      </w:pPr>
      <w:r>
        <w:t xml:space="preserve">Crown Commercial Service as the Authority are working with the Government Economic Service (GES) support team in HM Treasury to establish a single supplier Framework Agreement for Professional Economist Integrated Degree Apprenticeships. </w:t>
      </w:r>
    </w:p>
    <w:p w:rsidR="00EB53CA" w:rsidRDefault="00EB53CA" w:rsidP="00EB53CA">
      <w:pPr>
        <w:pStyle w:val="Heading3"/>
        <w:numPr>
          <w:ilvl w:val="2"/>
          <w:numId w:val="3"/>
        </w:numPr>
        <w:ind w:left="1701" w:hanging="708"/>
      </w:pPr>
      <w:r>
        <w:t>The Government Economic Service (GES) is one of the Civil Service Professions and is the professional body for economists in the UK public sector.</w:t>
      </w:r>
    </w:p>
    <w:p w:rsidR="00EB53CA" w:rsidRDefault="007B20B5" w:rsidP="00B52FFC">
      <w:pPr>
        <w:pStyle w:val="Heading3"/>
        <w:ind w:left="1701" w:firstLine="0"/>
      </w:pPr>
      <w:hyperlink r:id="rId8" w:history="1">
        <w:r w:rsidR="00B52FFC" w:rsidRPr="004471F1">
          <w:rPr>
            <w:rStyle w:val="Hyperlink"/>
          </w:rPr>
          <w:t>https://www.gov.uk/government/organisations/civil-service-government-economic-service</w:t>
        </w:r>
      </w:hyperlink>
    </w:p>
    <w:p w:rsidR="00B52FFC" w:rsidRPr="00B52FFC" w:rsidRDefault="00B52FFC" w:rsidP="00B52FFC">
      <w:pPr>
        <w:pStyle w:val="ListParagraph"/>
        <w:numPr>
          <w:ilvl w:val="2"/>
          <w:numId w:val="3"/>
        </w:numPr>
        <w:ind w:left="1701" w:hanging="708"/>
        <w:rPr>
          <w:rFonts w:ascii="Arial" w:eastAsia="Arial" w:hAnsi="Arial" w:cs="Arial"/>
          <w:lang w:eastAsia="en-GB"/>
        </w:rPr>
      </w:pPr>
      <w:r w:rsidRPr="00B52FFC">
        <w:rPr>
          <w:rFonts w:ascii="Arial" w:eastAsia="Arial" w:hAnsi="Arial" w:cs="Arial"/>
          <w:lang w:eastAsia="en-GB"/>
        </w:rPr>
        <w:t>The GES recognises that investing in people and offering high-quality apprenticeships is a way to grow an engaged, committed workforce that has the right skills to deliver high-quality economist services and sustain long-term competitiveness.</w:t>
      </w:r>
    </w:p>
    <w:p w:rsidR="00EB53CA" w:rsidRDefault="00EB53CA" w:rsidP="00EB53CA">
      <w:pPr>
        <w:pStyle w:val="Heading3"/>
        <w:numPr>
          <w:ilvl w:val="2"/>
          <w:numId w:val="3"/>
        </w:numPr>
        <w:ind w:left="1706" w:hanging="713"/>
      </w:pPr>
      <w:r>
        <w:t xml:space="preserve">As the largest employer of economists in England the GES are committed to employing Professional Economist Apprentices. The Professional Economist Apprenticeship entry route is seen as the important new pillar of the GES Recruitment Strategy and will have parity of esteem with the </w:t>
      </w:r>
      <w:r>
        <w:lastRenderedPageBreak/>
        <w:t>established Fast Track and Main Stream entry routes. The apprenticeship route is considered a vital part of the GES’s drive to ensure that the economics profession continues to attract the brightest and the best from all backgrounds.</w:t>
      </w:r>
    </w:p>
    <w:p w:rsidR="00EB53CA" w:rsidRDefault="00EB53CA" w:rsidP="007E4B92">
      <w:pPr>
        <w:pStyle w:val="Heading3"/>
        <w:numPr>
          <w:ilvl w:val="2"/>
          <w:numId w:val="3"/>
        </w:numPr>
        <w:ind w:left="1701"/>
      </w:pPr>
      <w:r>
        <w:t xml:space="preserve">Through this Framework Agreement it is the GES intention to form an enduring professional relationship with a single apprenticeships training provider to deliver all of the Professional Economist Integrated Degree Apprenticeship Training for GES member organisations. Current indications are that 75 apprentices will be recruited for August 2019 starts and this may grow in subsequent years.   </w:t>
      </w:r>
    </w:p>
    <w:p w:rsidR="00E027CC" w:rsidRDefault="00346DA8" w:rsidP="00FB781C">
      <w:pPr>
        <w:pStyle w:val="Heading3"/>
        <w:numPr>
          <w:ilvl w:val="2"/>
          <w:numId w:val="3"/>
        </w:numPr>
        <w:ind w:left="1700" w:hanging="735"/>
      </w:pPr>
      <w:r>
        <w:t>The Framework Agreement will be available for use by UK public sector bodies described in the OJEU Contract Notice (and any future successors to these organisations), which include Central Government Departments and their Arm's Length Bodies and Agencies, Non Departmental Public Bodies, NHS Bodies and Local Authorities.</w:t>
      </w:r>
    </w:p>
    <w:p w:rsidR="00E027CC" w:rsidRDefault="00346DA8" w:rsidP="00FB781C">
      <w:pPr>
        <w:pStyle w:val="Heading2"/>
        <w:numPr>
          <w:ilvl w:val="1"/>
          <w:numId w:val="3"/>
        </w:numPr>
      </w:pPr>
      <w:r>
        <w:rPr>
          <w:b/>
          <w:sz w:val="22"/>
          <w:szCs w:val="22"/>
        </w:rPr>
        <w:t>THE REQUIRED SERVICES</w:t>
      </w:r>
    </w:p>
    <w:p w:rsidR="00BD456E" w:rsidRDefault="00BD456E" w:rsidP="007E4B92">
      <w:pPr>
        <w:pStyle w:val="Heading3"/>
        <w:numPr>
          <w:ilvl w:val="2"/>
          <w:numId w:val="3"/>
        </w:numPr>
        <w:ind w:left="1706" w:hanging="713"/>
      </w:pPr>
      <w:r>
        <w:t>A detailed description of the apprent</w:t>
      </w:r>
      <w:r w:rsidR="00A01221">
        <w:t>iceships training services that</w:t>
      </w:r>
      <w:r w:rsidRPr="00BD456E">
        <w:t xml:space="preserve"> </w:t>
      </w:r>
      <w:r w:rsidR="00A01221">
        <w:t>the</w:t>
      </w:r>
      <w:r w:rsidRPr="00BD456E">
        <w:t xml:space="preserve"> Supplier will be required to supply </w:t>
      </w:r>
      <w:r w:rsidR="00A01221">
        <w:t>under a Call-Off Contract</w:t>
      </w:r>
      <w:r w:rsidRPr="00BD456E">
        <w:t xml:space="preserve">, is set out at: </w:t>
      </w:r>
    </w:p>
    <w:p w:rsidR="00BD456E" w:rsidRDefault="00BD456E" w:rsidP="007E4B92">
      <w:pPr>
        <w:pStyle w:val="Heading3"/>
        <w:ind w:left="3715" w:hanging="2014"/>
      </w:pPr>
      <w:r>
        <w:t>Attachment 4</w:t>
      </w:r>
      <w:r w:rsidR="00A01221">
        <w:t>a</w:t>
      </w:r>
      <w:r>
        <w:t xml:space="preserve"> – </w:t>
      </w:r>
      <w:r w:rsidR="00A01221">
        <w:t xml:space="preserve">Framework Agreement </w:t>
      </w:r>
      <w:r>
        <w:t>Schedule 2 Statement of Requirements.</w:t>
      </w:r>
    </w:p>
    <w:p w:rsidR="007E4B92" w:rsidRPr="007E4B92" w:rsidRDefault="007E4B92" w:rsidP="007E4B92">
      <w:pPr>
        <w:pStyle w:val="ListParagraph"/>
        <w:numPr>
          <w:ilvl w:val="2"/>
          <w:numId w:val="3"/>
        </w:numPr>
        <w:spacing w:after="120" w:line="240" w:lineRule="auto"/>
        <w:ind w:left="1701" w:hanging="708"/>
        <w:jc w:val="both"/>
        <w:rPr>
          <w:rFonts w:ascii="Arial" w:eastAsia="Arial" w:hAnsi="Arial" w:cs="Arial"/>
          <w:lang w:eastAsia="en-GB"/>
        </w:rPr>
      </w:pPr>
      <w:r w:rsidRPr="007E4B92">
        <w:rPr>
          <w:rFonts w:ascii="Arial" w:eastAsia="Arial" w:hAnsi="Arial" w:cs="Arial"/>
          <w:lang w:eastAsia="en-GB"/>
        </w:rPr>
        <w:t>The scope of the Framework Agreement will include the apprenticeship standard listed below, and any other economist apprenticeship standards that are approved for delivery and published, providing that they fall within the</w:t>
      </w:r>
      <w:r w:rsidR="002D4FDD">
        <w:rPr>
          <w:rFonts w:ascii="Arial" w:eastAsia="Arial" w:hAnsi="Arial" w:cs="Arial"/>
          <w:lang w:eastAsia="en-GB"/>
        </w:rPr>
        <w:t xml:space="preserve"> economist category</w:t>
      </w:r>
      <w:r w:rsidRPr="007E4B92">
        <w:rPr>
          <w:rFonts w:ascii="Arial" w:eastAsia="Arial" w:hAnsi="Arial" w:cs="Arial"/>
          <w:lang w:eastAsia="en-GB"/>
        </w:rPr>
        <w:t>.</w:t>
      </w:r>
    </w:p>
    <w:p w:rsidR="007E4B92" w:rsidRPr="002D4FDD" w:rsidRDefault="007E4B92" w:rsidP="002D4FDD">
      <w:pPr>
        <w:spacing w:after="120" w:line="240" w:lineRule="auto"/>
        <w:ind w:left="273" w:firstLine="1428"/>
        <w:jc w:val="both"/>
        <w:rPr>
          <w:rFonts w:ascii="Arial" w:eastAsia="Arial" w:hAnsi="Arial" w:cs="Arial"/>
        </w:rPr>
      </w:pPr>
      <w:r w:rsidRPr="002D4FDD">
        <w:rPr>
          <w:rFonts w:ascii="Arial" w:eastAsia="Arial" w:hAnsi="Arial" w:cs="Arial"/>
        </w:rPr>
        <w:t>Level 6 – Professional Economist Integrated Degree Apprenticeship:</w:t>
      </w:r>
    </w:p>
    <w:p w:rsidR="007E4B92" w:rsidRPr="002D4FDD" w:rsidRDefault="007E4B92" w:rsidP="002D4FDD">
      <w:pPr>
        <w:spacing w:after="120" w:line="240" w:lineRule="auto"/>
        <w:ind w:left="273" w:firstLine="1428"/>
        <w:jc w:val="both"/>
        <w:rPr>
          <w:rFonts w:ascii="Arial" w:eastAsia="Arial" w:hAnsi="Arial" w:cs="Arial"/>
        </w:rPr>
      </w:pPr>
      <w:r w:rsidRPr="002D4FDD">
        <w:rPr>
          <w:rFonts w:ascii="Arial" w:eastAsia="Arial" w:hAnsi="Arial" w:cs="Arial"/>
        </w:rPr>
        <w:t>Apprenticeship Standard link:</w:t>
      </w:r>
    </w:p>
    <w:p w:rsidR="007E4B92" w:rsidRPr="002D4FDD" w:rsidRDefault="007B20B5" w:rsidP="002D4FDD">
      <w:pPr>
        <w:spacing w:after="120" w:line="240" w:lineRule="auto"/>
        <w:ind w:left="1701"/>
        <w:jc w:val="both"/>
        <w:rPr>
          <w:rFonts w:ascii="Arial" w:eastAsia="Arial" w:hAnsi="Arial" w:cs="Arial"/>
        </w:rPr>
      </w:pPr>
      <w:hyperlink r:id="rId9" w:history="1">
        <w:r w:rsidR="002D4FDD" w:rsidRPr="004471F1">
          <w:rPr>
            <w:rStyle w:val="Hyperlink"/>
            <w:rFonts w:ascii="Arial" w:eastAsia="Arial" w:hAnsi="Arial" w:cs="Arial"/>
          </w:rPr>
          <w:t>https://www.instituteforapprenticeships.org/apprenticeship-standards/professional-economist-degree/</w:t>
        </w:r>
      </w:hyperlink>
    </w:p>
    <w:p w:rsidR="007E4B92" w:rsidRPr="007E4B92" w:rsidRDefault="007E4B92" w:rsidP="007E4B92">
      <w:pPr>
        <w:pStyle w:val="ListParagraph"/>
        <w:numPr>
          <w:ilvl w:val="2"/>
          <w:numId w:val="3"/>
        </w:numPr>
        <w:spacing w:after="120" w:line="240" w:lineRule="auto"/>
        <w:ind w:left="1701" w:hanging="708"/>
        <w:contextualSpacing w:val="0"/>
        <w:jc w:val="both"/>
        <w:rPr>
          <w:rFonts w:ascii="Arial" w:eastAsia="Arial" w:hAnsi="Arial" w:cs="Arial"/>
          <w:lang w:eastAsia="en-GB"/>
        </w:rPr>
      </w:pPr>
      <w:r w:rsidRPr="007E4B92">
        <w:rPr>
          <w:rFonts w:ascii="Arial" w:eastAsia="Arial" w:hAnsi="Arial" w:cs="Arial"/>
          <w:lang w:eastAsia="en-GB"/>
        </w:rPr>
        <w:t xml:space="preserve">The Supplier shall </w:t>
      </w:r>
      <w:r>
        <w:rPr>
          <w:rFonts w:ascii="Arial" w:eastAsia="Arial" w:hAnsi="Arial" w:cs="Arial"/>
          <w:lang w:eastAsia="en-GB"/>
        </w:rPr>
        <w:t xml:space="preserve">be required to </w:t>
      </w:r>
      <w:r w:rsidRPr="007E4B92">
        <w:rPr>
          <w:rFonts w:ascii="Arial" w:eastAsia="Arial" w:hAnsi="Arial" w:cs="Arial"/>
          <w:lang w:eastAsia="en-GB"/>
        </w:rPr>
        <w:t>ensure that each Contracting Authorities apprenticeship programme is aligned to the Professional Economist Integrated Degree Level 6 apprenticeship standard, approved for delivery by the Institute for Apprenticeships (</w:t>
      </w:r>
      <w:proofErr w:type="spellStart"/>
      <w:r w:rsidRPr="007E4B92">
        <w:rPr>
          <w:rFonts w:ascii="Arial" w:eastAsia="Arial" w:hAnsi="Arial" w:cs="Arial"/>
          <w:lang w:eastAsia="en-GB"/>
        </w:rPr>
        <w:t>IfA</w:t>
      </w:r>
      <w:proofErr w:type="spellEnd"/>
      <w:r w:rsidRPr="007E4B92">
        <w:rPr>
          <w:rFonts w:ascii="Arial" w:eastAsia="Arial" w:hAnsi="Arial" w:cs="Arial"/>
          <w:lang w:eastAsia="en-GB"/>
        </w:rPr>
        <w:t>) in April 2018 or later version as necessary.</w:t>
      </w:r>
    </w:p>
    <w:p w:rsidR="00A01221" w:rsidRDefault="00A01221" w:rsidP="007E4B92">
      <w:pPr>
        <w:pStyle w:val="ListParagraph"/>
        <w:numPr>
          <w:ilvl w:val="2"/>
          <w:numId w:val="3"/>
        </w:numPr>
        <w:spacing w:after="120" w:line="240" w:lineRule="auto"/>
        <w:ind w:left="1701" w:hanging="708"/>
        <w:contextualSpacing w:val="0"/>
        <w:jc w:val="both"/>
        <w:rPr>
          <w:rFonts w:ascii="Arial" w:eastAsia="Arial" w:hAnsi="Arial" w:cs="Arial"/>
          <w:lang w:eastAsia="en-GB"/>
        </w:rPr>
      </w:pPr>
      <w:r w:rsidRPr="00A01221">
        <w:rPr>
          <w:rFonts w:ascii="Arial" w:eastAsia="Arial" w:hAnsi="Arial" w:cs="Arial"/>
          <w:lang w:eastAsia="en-GB"/>
        </w:rPr>
        <w:t xml:space="preserve">The Supplier shall </w:t>
      </w:r>
      <w:r>
        <w:rPr>
          <w:rFonts w:ascii="Arial" w:eastAsia="Arial" w:hAnsi="Arial" w:cs="Arial"/>
          <w:lang w:eastAsia="en-GB"/>
        </w:rPr>
        <w:t xml:space="preserve">be required </w:t>
      </w:r>
      <w:r w:rsidRPr="00A01221">
        <w:rPr>
          <w:rFonts w:ascii="Arial" w:eastAsia="Arial" w:hAnsi="Arial" w:cs="Arial"/>
          <w:lang w:eastAsia="en-GB"/>
        </w:rPr>
        <w:t>to define a curriculum of training to meet the Professional Economist Integrated Degree Level 6 apprenticeship standard.</w:t>
      </w:r>
    </w:p>
    <w:p w:rsidR="007E4B92" w:rsidRPr="00A01221" w:rsidRDefault="007E4B92" w:rsidP="007E4B92">
      <w:pPr>
        <w:pStyle w:val="ListParagraph"/>
        <w:numPr>
          <w:ilvl w:val="2"/>
          <w:numId w:val="3"/>
        </w:numPr>
        <w:spacing w:after="120" w:line="240" w:lineRule="auto"/>
        <w:ind w:left="1701" w:hanging="708"/>
        <w:contextualSpacing w:val="0"/>
        <w:jc w:val="both"/>
        <w:rPr>
          <w:rFonts w:ascii="Arial" w:eastAsia="Arial" w:hAnsi="Arial" w:cs="Arial"/>
          <w:lang w:eastAsia="en-GB"/>
        </w:rPr>
      </w:pPr>
      <w:r w:rsidRPr="00CF2519">
        <w:rPr>
          <w:rFonts w:ascii="Arial" w:eastAsia="Times New Roman" w:hAnsi="Arial" w:cs="Arial"/>
          <w:color w:val="000000" w:themeColor="text1"/>
          <w:lang w:eastAsia="zh-CN"/>
        </w:rPr>
        <w:t xml:space="preserve">The Supplier shall work with HMT to define a detailed curriculum for the </w:t>
      </w:r>
      <w:r>
        <w:rPr>
          <w:rFonts w:ascii="Arial" w:eastAsia="Times New Roman" w:hAnsi="Arial" w:cs="Arial"/>
          <w:color w:val="000000" w:themeColor="text1"/>
          <w:lang w:eastAsia="zh-CN"/>
        </w:rPr>
        <w:t xml:space="preserve">CGES </w:t>
      </w:r>
      <w:r w:rsidRPr="00CF2519">
        <w:rPr>
          <w:rFonts w:ascii="Arial" w:eastAsia="Times New Roman" w:hAnsi="Arial" w:cs="Arial"/>
          <w:color w:val="000000" w:themeColor="text1"/>
          <w:lang w:eastAsia="zh-CN"/>
        </w:rPr>
        <w:t>programme</w:t>
      </w:r>
      <w:r>
        <w:rPr>
          <w:rFonts w:ascii="Arial" w:eastAsia="Times New Roman" w:hAnsi="Arial" w:cs="Arial"/>
          <w:color w:val="000000" w:themeColor="text1"/>
          <w:lang w:eastAsia="zh-CN"/>
        </w:rPr>
        <w:t xml:space="preserve"> and wider GES Contracting Authorities programmes.</w:t>
      </w:r>
    </w:p>
    <w:p w:rsidR="00A01221" w:rsidRDefault="00A01221" w:rsidP="007E4B92">
      <w:pPr>
        <w:pStyle w:val="Heading3"/>
        <w:numPr>
          <w:ilvl w:val="2"/>
          <w:numId w:val="3"/>
        </w:numPr>
        <w:tabs>
          <w:tab w:val="clear" w:pos="1843"/>
          <w:tab w:val="left" w:pos="1701"/>
        </w:tabs>
        <w:ind w:left="1701" w:hanging="708"/>
      </w:pPr>
      <w:r>
        <w:t>The service provision spans across the following phases of programme design and delivery:</w:t>
      </w:r>
    </w:p>
    <w:p w:rsidR="00A01221" w:rsidRDefault="00A01221" w:rsidP="007E4B92">
      <w:pPr>
        <w:pStyle w:val="Heading3"/>
        <w:numPr>
          <w:ilvl w:val="3"/>
          <w:numId w:val="3"/>
        </w:numPr>
        <w:tabs>
          <w:tab w:val="left" w:pos="2694"/>
        </w:tabs>
        <w:ind w:left="2552" w:hanging="851"/>
      </w:pPr>
      <w:r>
        <w:t xml:space="preserve">Detailed implementation planning and programme design, covering all aspects of design, delivery and evaluation.   </w:t>
      </w:r>
    </w:p>
    <w:p w:rsidR="00A01221" w:rsidRDefault="00A01221" w:rsidP="007E4B92">
      <w:pPr>
        <w:pStyle w:val="Heading3"/>
        <w:numPr>
          <w:ilvl w:val="3"/>
          <w:numId w:val="3"/>
        </w:numPr>
        <w:ind w:left="2552" w:hanging="851"/>
      </w:pPr>
      <w:r>
        <w:t>Attraction, recruitment and selection, providing support for attraction campaigns and the recruitment and selection processes used to sift and identify candidates.</w:t>
      </w:r>
    </w:p>
    <w:p w:rsidR="00A01221" w:rsidRDefault="00A01221" w:rsidP="007E4B92">
      <w:pPr>
        <w:pStyle w:val="Heading3"/>
        <w:numPr>
          <w:ilvl w:val="3"/>
          <w:numId w:val="3"/>
        </w:numPr>
        <w:ind w:left="2552" w:hanging="851"/>
      </w:pPr>
      <w:r>
        <w:t xml:space="preserve">Enrolment and induction, undertaking a robust initial assessment of the skills and support needs of each apprentice, and providing </w:t>
      </w:r>
      <w:r>
        <w:lastRenderedPageBreak/>
        <w:t>comprehensive, informative and effective induction to the programme.</w:t>
      </w:r>
    </w:p>
    <w:p w:rsidR="00A01221" w:rsidRDefault="00A01221" w:rsidP="007E4B92">
      <w:pPr>
        <w:pStyle w:val="Heading3"/>
        <w:numPr>
          <w:ilvl w:val="3"/>
          <w:numId w:val="3"/>
        </w:numPr>
        <w:ind w:left="2552" w:hanging="851"/>
      </w:pPr>
      <w:r>
        <w:t xml:space="preserve">Curriculum delivery, using a combination of methods and activities throughout the duration of the programme, which includes online learning; face-to-face group learning; one-to-one support; independent study and assignments. </w:t>
      </w:r>
    </w:p>
    <w:p w:rsidR="00A01221" w:rsidRDefault="00A01221" w:rsidP="007E4B92">
      <w:pPr>
        <w:pStyle w:val="Heading3"/>
        <w:numPr>
          <w:ilvl w:val="3"/>
          <w:numId w:val="3"/>
        </w:numPr>
        <w:ind w:left="2552" w:hanging="851"/>
      </w:pPr>
      <w:r>
        <w:t xml:space="preserve">Assessment and progression, designing and delivering a robust, effective end-point assessment process including support for apprentices and an opportunity to re-take assessments.  </w:t>
      </w:r>
    </w:p>
    <w:p w:rsidR="00A01221" w:rsidRDefault="00A01221" w:rsidP="007E4B92">
      <w:pPr>
        <w:pStyle w:val="Heading3"/>
        <w:numPr>
          <w:ilvl w:val="2"/>
          <w:numId w:val="3"/>
        </w:numPr>
        <w:ind w:left="1701" w:hanging="708"/>
        <w:jc w:val="left"/>
      </w:pPr>
      <w:r>
        <w:t>The Supplier shall provide a comprehensive, effective programme management and administration arrangements</w:t>
      </w:r>
    </w:p>
    <w:p w:rsidR="00E027CC" w:rsidRDefault="00346DA8" w:rsidP="00FB781C">
      <w:pPr>
        <w:pStyle w:val="Heading3"/>
        <w:numPr>
          <w:ilvl w:val="2"/>
          <w:numId w:val="3"/>
        </w:numPr>
        <w:ind w:left="1700" w:hanging="735"/>
      </w:pPr>
      <w:r>
        <w:t>The Supplier shall have the capability to support Contracting Authorities, as and when required, with the sourcing, selection and assessment, recruitment and administration of the Apprentices; including drafting job descriptions, attracting candidates, skills screening, long-listing and shortlisting, interview scheduling and references.</w:t>
      </w:r>
    </w:p>
    <w:p w:rsidR="00E027CC" w:rsidRDefault="00346DA8" w:rsidP="00FB781C">
      <w:pPr>
        <w:pStyle w:val="Heading3"/>
        <w:numPr>
          <w:ilvl w:val="2"/>
          <w:numId w:val="3"/>
        </w:numPr>
        <w:ind w:left="1700" w:hanging="735"/>
      </w:pPr>
      <w:r>
        <w:t>The Supplier shall have the flexibility and scalability to be able to work with all Contracting Authorities, even during periods of peak demand and regardless of a Contracting Authorities size and value; whilst maintaining a high level of service delivery.</w:t>
      </w:r>
    </w:p>
    <w:p w:rsidR="00E027CC" w:rsidRDefault="00346DA8" w:rsidP="00FB781C">
      <w:pPr>
        <w:pStyle w:val="Heading3"/>
        <w:numPr>
          <w:ilvl w:val="2"/>
          <w:numId w:val="3"/>
        </w:numPr>
        <w:tabs>
          <w:tab w:val="clear" w:pos="1843"/>
          <w:tab w:val="left" w:pos="2268"/>
        </w:tabs>
        <w:ind w:left="1843" w:hanging="850"/>
      </w:pPr>
      <w:r>
        <w:t>The Framework Agreement shall also allow for future-proofing in allowing the flexibility to add new Apprenticeships Standards that are developed and published within the scope of this Framework Agreement.</w:t>
      </w:r>
    </w:p>
    <w:p w:rsidR="002D4FDD" w:rsidRPr="00CF2519" w:rsidRDefault="002D4FDD" w:rsidP="002D4FDD">
      <w:pPr>
        <w:numPr>
          <w:ilvl w:val="2"/>
          <w:numId w:val="3"/>
        </w:numPr>
        <w:tabs>
          <w:tab w:val="left" w:pos="1134"/>
        </w:tabs>
        <w:adjustRightInd w:val="0"/>
        <w:spacing w:before="120" w:after="120" w:line="240" w:lineRule="auto"/>
        <w:ind w:left="1701" w:hanging="708"/>
        <w:jc w:val="both"/>
        <w:rPr>
          <w:rFonts w:ascii="Arial" w:eastAsia="Times New Roman" w:hAnsi="Arial" w:cs="Arial"/>
          <w:color w:val="000000" w:themeColor="text1"/>
          <w:lang w:eastAsia="zh-CN"/>
        </w:rPr>
      </w:pPr>
      <w:r w:rsidRPr="00CF2519">
        <w:rPr>
          <w:rFonts w:ascii="Arial" w:eastAsia="Times New Roman" w:hAnsi="Arial" w:cs="Arial"/>
          <w:color w:val="000000" w:themeColor="text1"/>
          <w:lang w:eastAsia="zh-CN"/>
        </w:rPr>
        <w:t>The Supplier shall be flexible in providing any relevant additional services that fall within the scope of the requirements of the Framework Agreement and which Contracting Authoritie</w:t>
      </w:r>
      <w:r>
        <w:rPr>
          <w:rFonts w:ascii="Arial" w:eastAsia="Times New Roman" w:hAnsi="Arial" w:cs="Arial"/>
          <w:color w:val="000000" w:themeColor="text1"/>
          <w:lang w:eastAsia="zh-CN"/>
        </w:rPr>
        <w:t>s may require to deliver their a</w:t>
      </w:r>
      <w:r w:rsidRPr="00CF2519">
        <w:rPr>
          <w:rFonts w:ascii="Arial" w:eastAsia="Times New Roman" w:hAnsi="Arial" w:cs="Arial"/>
          <w:color w:val="000000" w:themeColor="text1"/>
          <w:lang w:eastAsia="zh-CN"/>
        </w:rPr>
        <w:t>pprenticeships scheme.</w:t>
      </w:r>
    </w:p>
    <w:p w:rsidR="002D4FDD" w:rsidRPr="002D4FDD" w:rsidRDefault="002D4FDD" w:rsidP="002D4FDD"/>
    <w:p w:rsidR="00E027CC" w:rsidRDefault="00346DA8">
      <w:pPr>
        <w:pStyle w:val="Heading3"/>
        <w:ind w:left="0" w:firstLine="0"/>
      </w:pPr>
      <w:r>
        <w:br w:type="page"/>
      </w:r>
    </w:p>
    <w:p w:rsidR="00E027CC" w:rsidRDefault="00346DA8" w:rsidP="00FB781C">
      <w:pPr>
        <w:pStyle w:val="Heading1"/>
        <w:numPr>
          <w:ilvl w:val="0"/>
          <w:numId w:val="3"/>
        </w:numPr>
        <w:rPr>
          <w:sz w:val="22"/>
          <w:szCs w:val="22"/>
        </w:rPr>
      </w:pPr>
      <w:bookmarkStart w:id="2" w:name="_30j0zll" w:colFirst="0" w:colLast="0"/>
      <w:bookmarkEnd w:id="2"/>
      <w:r>
        <w:rPr>
          <w:sz w:val="22"/>
          <w:szCs w:val="22"/>
        </w:rPr>
        <w:lastRenderedPageBreak/>
        <w:t>THE FRAMEWORK AGREEMENT AND CALL-OFF CONTRACTS</w:t>
      </w:r>
    </w:p>
    <w:p w:rsidR="00E027CC" w:rsidRDefault="00346DA8" w:rsidP="00FB781C">
      <w:pPr>
        <w:pStyle w:val="Heading2"/>
        <w:numPr>
          <w:ilvl w:val="1"/>
          <w:numId w:val="3"/>
        </w:numPr>
        <w:pBdr>
          <w:top w:val="nil"/>
          <w:left w:val="nil"/>
          <w:bottom w:val="nil"/>
          <w:right w:val="nil"/>
          <w:between w:val="nil"/>
        </w:pBdr>
      </w:pPr>
      <w:r>
        <w:rPr>
          <w:sz w:val="22"/>
          <w:szCs w:val="22"/>
        </w:rPr>
        <w:t>This Procurement will result in the award of the Framework Agreement to one (1) successful Potential Provider. Once the Framework Agreement has been executed this successful Potential Provider will become the Supplier.</w:t>
      </w:r>
    </w:p>
    <w:p w:rsidR="00E027CC" w:rsidRDefault="00346DA8" w:rsidP="00FB781C">
      <w:pPr>
        <w:pStyle w:val="Heading2"/>
        <w:numPr>
          <w:ilvl w:val="1"/>
          <w:numId w:val="3"/>
        </w:numPr>
        <w:pBdr>
          <w:top w:val="nil"/>
          <w:left w:val="nil"/>
          <w:bottom w:val="nil"/>
          <w:right w:val="nil"/>
          <w:between w:val="nil"/>
        </w:pBdr>
      </w:pPr>
      <w:r>
        <w:rPr>
          <w:sz w:val="22"/>
          <w:szCs w:val="22"/>
        </w:rPr>
        <w:t>The Framework Agreement will enable Contracting Authorities to place orders with Supplier for the Goods and S</w:t>
      </w:r>
      <w:r w:rsidR="002D4FDD">
        <w:rPr>
          <w:sz w:val="22"/>
          <w:szCs w:val="22"/>
        </w:rPr>
        <w:t>ervices via Call-Off Contracts.</w:t>
      </w:r>
    </w:p>
    <w:p w:rsidR="00E027CC" w:rsidRDefault="00346DA8" w:rsidP="00FB781C">
      <w:pPr>
        <w:pStyle w:val="Heading2"/>
        <w:numPr>
          <w:ilvl w:val="1"/>
          <w:numId w:val="3"/>
        </w:numPr>
        <w:pBdr>
          <w:top w:val="nil"/>
          <w:left w:val="nil"/>
          <w:bottom w:val="nil"/>
          <w:right w:val="nil"/>
          <w:between w:val="nil"/>
        </w:pBdr>
      </w:pPr>
      <w:r>
        <w:rPr>
          <w:sz w:val="22"/>
          <w:szCs w:val="22"/>
        </w:rPr>
        <w:t>The published Framework Agreement (including the Framework Schedules) and Call-Off Contract (including the Call-Off Schedules) terms and conditions are available at Attachments 4, 4a and 5. Please carefully review these documents so that you fully to understand the rights and obligations they confer on the parties.</w:t>
      </w:r>
    </w:p>
    <w:p w:rsidR="00E027CC" w:rsidRDefault="00346DA8" w:rsidP="00FB781C">
      <w:pPr>
        <w:pStyle w:val="Heading2"/>
        <w:numPr>
          <w:ilvl w:val="1"/>
          <w:numId w:val="3"/>
        </w:numPr>
        <w:pBdr>
          <w:top w:val="nil"/>
          <w:left w:val="nil"/>
          <w:bottom w:val="nil"/>
          <w:right w:val="nil"/>
          <w:between w:val="nil"/>
        </w:pBdr>
      </w:pPr>
      <w:r>
        <w:rPr>
          <w:sz w:val="22"/>
          <w:szCs w:val="22"/>
        </w:rPr>
        <w:t xml:space="preserve">Framework Agreement and Call-Off Contract terms are non-negotiable, whether during this Procurement or post award. However, you may seek clarification of any points of ambiguity or apparent error in relation to the terms throughout the clarification period (see </w:t>
      </w:r>
      <w:r w:rsidRPr="00FB781C">
        <w:rPr>
          <w:sz w:val="22"/>
        </w:rPr>
        <w:t>paragraph 7</w:t>
      </w:r>
      <w:r>
        <w:rPr>
          <w:sz w:val="22"/>
          <w:szCs w:val="22"/>
        </w:rPr>
        <w:t>). If, in its sole discretion, the Authority accepts that there is either ambiguity or error, then it will make appropriate amendment.</w:t>
      </w:r>
    </w:p>
    <w:p w:rsidR="00E027CC" w:rsidRDefault="00346DA8" w:rsidP="00FB781C">
      <w:pPr>
        <w:pStyle w:val="Heading2"/>
        <w:numPr>
          <w:ilvl w:val="1"/>
          <w:numId w:val="3"/>
        </w:numPr>
        <w:pBdr>
          <w:top w:val="nil"/>
          <w:left w:val="nil"/>
          <w:bottom w:val="nil"/>
          <w:right w:val="nil"/>
          <w:between w:val="nil"/>
        </w:pBdr>
      </w:pPr>
      <w:r>
        <w:rPr>
          <w:sz w:val="22"/>
          <w:szCs w:val="22"/>
        </w:rPr>
        <w:t xml:space="preserve">Following the Authority’s decision to award, the Framework Agreement will be updated to incorporate elements of the Tender including (but not limited to) the successful Potential Provider’s charges, pricing methodology and the approach to delivering the Goods and Services. </w:t>
      </w:r>
    </w:p>
    <w:p w:rsidR="00E027CC" w:rsidRDefault="00346DA8" w:rsidP="00FB781C">
      <w:pPr>
        <w:pStyle w:val="Heading2"/>
        <w:numPr>
          <w:ilvl w:val="1"/>
          <w:numId w:val="3"/>
        </w:numPr>
        <w:pBdr>
          <w:top w:val="nil"/>
          <w:left w:val="nil"/>
          <w:bottom w:val="nil"/>
          <w:right w:val="nil"/>
          <w:between w:val="nil"/>
        </w:pBdr>
      </w:pPr>
      <w:r>
        <w:rPr>
          <w:sz w:val="22"/>
          <w:szCs w:val="22"/>
        </w:rPr>
        <w:t>The Authority will manage the overall performance of the Framework Agreement by the Supplier and collect Management Information as defined in</w:t>
      </w:r>
      <w:r w:rsidRPr="00FB781C">
        <w:rPr>
          <w:sz w:val="22"/>
        </w:rPr>
        <w:t xml:space="preserve"> </w:t>
      </w:r>
      <w:r>
        <w:rPr>
          <w:sz w:val="22"/>
          <w:szCs w:val="22"/>
        </w:rPr>
        <w:t xml:space="preserve">Framework </w:t>
      </w:r>
      <w:r w:rsidRPr="00FB781C">
        <w:rPr>
          <w:sz w:val="22"/>
        </w:rPr>
        <w:t xml:space="preserve">Schedule 9 </w:t>
      </w:r>
      <w:r>
        <w:rPr>
          <w:sz w:val="22"/>
          <w:szCs w:val="22"/>
        </w:rPr>
        <w:t xml:space="preserve">and any Management Charges payable by the Supplier at </w:t>
      </w:r>
      <w:r w:rsidRPr="00FB781C">
        <w:rPr>
          <w:sz w:val="22"/>
        </w:rPr>
        <w:t xml:space="preserve">Clause 20 </w:t>
      </w:r>
      <w:r>
        <w:rPr>
          <w:sz w:val="22"/>
          <w:szCs w:val="22"/>
        </w:rPr>
        <w:t>of the Framework Agreement.</w:t>
      </w:r>
    </w:p>
    <w:p w:rsidR="00E027CC" w:rsidRDefault="00346DA8" w:rsidP="00FB781C">
      <w:pPr>
        <w:pStyle w:val="Heading2"/>
        <w:numPr>
          <w:ilvl w:val="1"/>
          <w:numId w:val="3"/>
        </w:numPr>
      </w:pPr>
      <w:r>
        <w:rPr>
          <w:b/>
          <w:sz w:val="22"/>
          <w:szCs w:val="22"/>
        </w:rPr>
        <w:t xml:space="preserve">Contracting Authorities </w:t>
      </w:r>
    </w:p>
    <w:p w:rsidR="00E027CC" w:rsidRDefault="00346DA8" w:rsidP="00FB781C">
      <w:pPr>
        <w:pStyle w:val="Heading3"/>
        <w:numPr>
          <w:ilvl w:val="2"/>
          <w:numId w:val="3"/>
        </w:numPr>
        <w:pBdr>
          <w:top w:val="nil"/>
          <w:left w:val="nil"/>
          <w:bottom w:val="nil"/>
          <w:right w:val="nil"/>
          <w:between w:val="nil"/>
        </w:pBdr>
        <w:ind w:left="1700" w:hanging="735"/>
      </w:pPr>
      <w:r>
        <w:t>The Framework Agreement will be available for use by Contracting Authorities</w:t>
      </w:r>
      <w:r w:rsidR="00616FB3">
        <w:t xml:space="preserve"> </w:t>
      </w:r>
      <w:r>
        <w:t xml:space="preserve">throughout the whole of the UK, including Northern Ireland, Scotland and Wales as described in the OJEU Contract Notice. </w:t>
      </w:r>
    </w:p>
    <w:p w:rsidR="00E027CC" w:rsidRDefault="00346DA8" w:rsidP="00FB781C">
      <w:pPr>
        <w:pStyle w:val="Heading3"/>
        <w:numPr>
          <w:ilvl w:val="2"/>
          <w:numId w:val="3"/>
        </w:numPr>
        <w:pBdr>
          <w:top w:val="nil"/>
          <w:left w:val="nil"/>
          <w:bottom w:val="nil"/>
          <w:right w:val="nil"/>
          <w:between w:val="nil"/>
        </w:pBdr>
        <w:ind w:left="1700" w:hanging="735"/>
      </w:pPr>
      <w:r>
        <w:t xml:space="preserve">Subject to </w:t>
      </w:r>
      <w:r w:rsidRPr="00FB781C">
        <w:t>paragraph 2.8</w:t>
      </w:r>
      <w:r w:rsidR="00616FB3">
        <w:t xml:space="preserve"> </w:t>
      </w:r>
      <w:r>
        <w:t>any relevant Contracting Authority may purchase the Goods and Services from any supplier outside of the Framework Agreement. Being appointed to this Framework Agreement does not confer an exclusive right to supply on Supplier or guarantee that a Supplier will receive any business at all under the Framework Agreement.</w:t>
      </w:r>
    </w:p>
    <w:p w:rsidR="00E027CC" w:rsidRDefault="00346DA8" w:rsidP="00FB781C">
      <w:pPr>
        <w:pStyle w:val="Heading2"/>
        <w:numPr>
          <w:ilvl w:val="1"/>
          <w:numId w:val="3"/>
        </w:numPr>
      </w:pPr>
      <w:bookmarkStart w:id="3" w:name="_2et92p0" w:colFirst="0" w:colLast="0"/>
      <w:bookmarkEnd w:id="3"/>
      <w:r>
        <w:rPr>
          <w:b/>
          <w:sz w:val="22"/>
          <w:szCs w:val="22"/>
        </w:rPr>
        <w:t xml:space="preserve">The ordering process </w:t>
      </w:r>
    </w:p>
    <w:p w:rsidR="00E027CC" w:rsidRDefault="00346DA8" w:rsidP="00FB781C">
      <w:pPr>
        <w:pStyle w:val="Heading3"/>
        <w:numPr>
          <w:ilvl w:val="2"/>
          <w:numId w:val="3"/>
        </w:numPr>
        <w:ind w:left="1700" w:hanging="735"/>
      </w:pPr>
      <w:r>
        <w:t xml:space="preserve">This Framework will be comprised of one (1), single supplier Lot. </w:t>
      </w:r>
    </w:p>
    <w:p w:rsidR="00E027CC" w:rsidRDefault="00346DA8" w:rsidP="00FB781C">
      <w:pPr>
        <w:pStyle w:val="Heading3"/>
        <w:numPr>
          <w:ilvl w:val="2"/>
          <w:numId w:val="3"/>
        </w:numPr>
        <w:ind w:left="1700" w:hanging="735"/>
      </w:pPr>
      <w:r>
        <w:t xml:space="preserve">Contracting Authorities will use the process set out in Framework </w:t>
      </w:r>
      <w:r w:rsidRPr="00FB781C">
        <w:t xml:space="preserve">Schedule </w:t>
      </w:r>
      <w:r>
        <w:t xml:space="preserve">5 (Call </w:t>
      </w:r>
      <w:proofErr w:type="gramStart"/>
      <w:r>
        <w:t>Off</w:t>
      </w:r>
      <w:proofErr w:type="gramEnd"/>
      <w:r>
        <w:t xml:space="preserve"> Procedure). </w:t>
      </w:r>
    </w:p>
    <w:p w:rsidR="00E027CC" w:rsidRDefault="00346DA8" w:rsidP="00FB781C">
      <w:pPr>
        <w:pStyle w:val="Heading3"/>
        <w:numPr>
          <w:ilvl w:val="2"/>
          <w:numId w:val="3"/>
        </w:numPr>
        <w:ind w:left="1700" w:hanging="735"/>
      </w:pPr>
      <w:r>
        <w:t>All Call-Off Contracts awarded by Contracting Authorities will be subject to the Call-Off Contract terms and conditions contained within Framework S</w:t>
      </w:r>
      <w:r w:rsidRPr="00FB781C">
        <w:t xml:space="preserve">chedule 4 (Attachment </w:t>
      </w:r>
      <w:r>
        <w:t>5) supplemented as appropriate by such additional details as may be necessary and permissible.</w:t>
      </w:r>
    </w:p>
    <w:p w:rsidR="00E027CC" w:rsidRDefault="00346DA8" w:rsidP="00FB781C">
      <w:pPr>
        <w:pStyle w:val="Heading3"/>
        <w:numPr>
          <w:ilvl w:val="2"/>
          <w:numId w:val="3"/>
        </w:numPr>
        <w:ind w:left="1700" w:hanging="735"/>
      </w:pPr>
      <w:r>
        <w:t>The Contracting Authorities will manage the Supplier's day to day performance of the Call-Off Contract it has entered into with the Supplier.</w:t>
      </w:r>
    </w:p>
    <w:p w:rsidR="00616FB3" w:rsidRPr="0011267C" w:rsidRDefault="00616FB3" w:rsidP="00616FB3">
      <w:pPr>
        <w:pStyle w:val="Heading2"/>
        <w:numPr>
          <w:ilvl w:val="2"/>
          <w:numId w:val="3"/>
        </w:numPr>
        <w:ind w:left="1701" w:hanging="708"/>
        <w:rPr>
          <w:sz w:val="22"/>
          <w:szCs w:val="22"/>
        </w:rPr>
      </w:pPr>
      <w:r>
        <w:rPr>
          <w:sz w:val="22"/>
          <w:szCs w:val="22"/>
        </w:rPr>
        <w:t xml:space="preserve">HM Treasury (HMT) as the main sponsor of this procurement for the CGES programme shall have overall </w:t>
      </w:r>
      <w:r w:rsidRPr="0011267C">
        <w:rPr>
          <w:sz w:val="22"/>
          <w:szCs w:val="22"/>
          <w:lang w:val="en"/>
        </w:rPr>
        <w:t>responsibility for the Supplier performance management on behalf of</w:t>
      </w:r>
      <w:r>
        <w:rPr>
          <w:sz w:val="22"/>
          <w:szCs w:val="22"/>
          <w:lang w:val="en"/>
        </w:rPr>
        <w:t xml:space="preserve"> Contracting Authority’s.</w:t>
      </w:r>
    </w:p>
    <w:p w:rsidR="00616FB3" w:rsidRPr="00616FB3" w:rsidRDefault="00616FB3" w:rsidP="00616FB3"/>
    <w:p w:rsidR="00E027CC" w:rsidRPr="00EC4846" w:rsidRDefault="00346DA8" w:rsidP="00EC4846">
      <w:pPr>
        <w:pStyle w:val="Heading1"/>
        <w:numPr>
          <w:ilvl w:val="0"/>
          <w:numId w:val="3"/>
        </w:numPr>
        <w:rPr>
          <w:sz w:val="22"/>
          <w:szCs w:val="22"/>
        </w:rPr>
      </w:pPr>
      <w:bookmarkStart w:id="4" w:name="_tyjcwt" w:colFirst="0" w:colLast="0"/>
      <w:bookmarkEnd w:id="4"/>
      <w:r>
        <w:br w:type="page"/>
      </w:r>
      <w:bookmarkStart w:id="5" w:name="_3dy6vkm" w:colFirst="0" w:colLast="0"/>
      <w:bookmarkEnd w:id="5"/>
      <w:r w:rsidR="00EC4846" w:rsidRPr="00EC4846">
        <w:rPr>
          <w:sz w:val="22"/>
          <w:szCs w:val="22"/>
        </w:rPr>
        <w:lastRenderedPageBreak/>
        <w:t>LOT STRUCTURE (</w:t>
      </w:r>
      <w:r w:rsidR="00EC4846">
        <w:rPr>
          <w:sz w:val="22"/>
          <w:szCs w:val="22"/>
        </w:rPr>
        <w:t>NOT USED)</w:t>
      </w:r>
    </w:p>
    <w:p w:rsidR="00E027CC" w:rsidRDefault="00346DA8" w:rsidP="00FB781C">
      <w:pPr>
        <w:pStyle w:val="Heading1"/>
        <w:numPr>
          <w:ilvl w:val="0"/>
          <w:numId w:val="3"/>
        </w:numPr>
        <w:rPr>
          <w:sz w:val="22"/>
          <w:szCs w:val="22"/>
        </w:rPr>
      </w:pPr>
      <w:bookmarkStart w:id="6" w:name="_4d34og8" w:colFirst="0" w:colLast="0"/>
      <w:bookmarkEnd w:id="6"/>
      <w:r>
        <w:rPr>
          <w:sz w:val="22"/>
          <w:szCs w:val="22"/>
        </w:rPr>
        <w:t>PROCUREMENT TIMETABLE</w:t>
      </w:r>
    </w:p>
    <w:p w:rsidR="00E027CC" w:rsidRDefault="00346DA8" w:rsidP="00FB781C">
      <w:pPr>
        <w:pStyle w:val="Heading2"/>
        <w:numPr>
          <w:ilvl w:val="1"/>
          <w:numId w:val="3"/>
        </w:numPr>
      </w:pPr>
      <w:r>
        <w:rPr>
          <w:sz w:val="22"/>
          <w:szCs w:val="22"/>
        </w:rPr>
        <w:t xml:space="preserve">The anticipated timetable for this Procurement is set out in the table below. </w:t>
      </w:r>
    </w:p>
    <w:p w:rsidR="00E027CC" w:rsidRDefault="00346DA8" w:rsidP="00FB781C">
      <w:pPr>
        <w:pStyle w:val="Heading2"/>
        <w:numPr>
          <w:ilvl w:val="1"/>
          <w:numId w:val="3"/>
        </w:numPr>
      </w:pPr>
      <w:bookmarkStart w:id="7" w:name="_2s8eyo1" w:colFirst="0" w:colLast="0"/>
      <w:bookmarkEnd w:id="7"/>
      <w:r>
        <w:rPr>
          <w:sz w:val="22"/>
          <w:szCs w:val="22"/>
        </w:rPr>
        <w:t>This timetable may be changed by the Authority at any time. Changes to any of the dates will be made in accordance with the Regulations (where applicable). You will be informed through the e-Sourcing Suite if the Authority decides that changes to this timetable are necessary.</w:t>
      </w:r>
    </w:p>
    <w:tbl>
      <w:tblPr>
        <w:tblStyle w:val="a0"/>
        <w:tblW w:w="8430" w:type="dxa"/>
        <w:tblInd w:w="7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400"/>
        <w:gridCol w:w="6030"/>
      </w:tblGrid>
      <w:tr w:rsidR="00E027CC" w:rsidTr="00FB781C">
        <w:trPr>
          <w:trHeight w:val="380"/>
        </w:trPr>
        <w:tc>
          <w:tcPr>
            <w:tcW w:w="2400" w:type="dxa"/>
            <w:shd w:val="clear" w:color="auto" w:fill="E0E0E0"/>
            <w:vAlign w:val="center"/>
          </w:tcPr>
          <w:p w:rsidR="00E027CC" w:rsidRDefault="00346DA8">
            <w:pPr>
              <w:pBdr>
                <w:top w:val="nil"/>
                <w:left w:val="nil"/>
                <w:bottom w:val="nil"/>
                <w:right w:val="nil"/>
                <w:between w:val="nil"/>
              </w:pBdr>
              <w:spacing w:before="60" w:after="60"/>
              <w:jc w:val="center"/>
              <w:rPr>
                <w:rFonts w:ascii="Arial" w:eastAsia="Arial" w:hAnsi="Arial" w:cs="Arial"/>
                <w:b/>
                <w:color w:val="000000"/>
                <w:sz w:val="22"/>
                <w:szCs w:val="22"/>
              </w:rPr>
            </w:pPr>
            <w:r>
              <w:rPr>
                <w:rFonts w:ascii="Arial" w:eastAsia="Arial" w:hAnsi="Arial" w:cs="Arial"/>
                <w:b/>
                <w:color w:val="000000"/>
                <w:sz w:val="22"/>
                <w:szCs w:val="22"/>
              </w:rPr>
              <w:t>DATE</w:t>
            </w:r>
          </w:p>
        </w:tc>
        <w:tc>
          <w:tcPr>
            <w:tcW w:w="6030" w:type="dxa"/>
            <w:shd w:val="clear" w:color="auto" w:fill="E0E0E0"/>
            <w:vAlign w:val="center"/>
          </w:tcPr>
          <w:p w:rsidR="00E027CC" w:rsidRDefault="00346DA8">
            <w:pPr>
              <w:pBdr>
                <w:top w:val="nil"/>
                <w:left w:val="nil"/>
                <w:bottom w:val="nil"/>
                <w:right w:val="nil"/>
                <w:between w:val="nil"/>
              </w:pBdr>
              <w:spacing w:before="60" w:after="60"/>
              <w:jc w:val="center"/>
              <w:rPr>
                <w:rFonts w:ascii="Arial" w:eastAsia="Arial" w:hAnsi="Arial" w:cs="Arial"/>
                <w:b/>
                <w:color w:val="000000"/>
                <w:sz w:val="22"/>
                <w:szCs w:val="22"/>
              </w:rPr>
            </w:pPr>
            <w:r>
              <w:rPr>
                <w:rFonts w:ascii="Arial" w:eastAsia="Arial" w:hAnsi="Arial" w:cs="Arial"/>
                <w:b/>
                <w:color w:val="000000"/>
                <w:sz w:val="22"/>
                <w:szCs w:val="22"/>
              </w:rPr>
              <w:t>ACTIVITY</w:t>
            </w:r>
          </w:p>
        </w:tc>
      </w:tr>
      <w:tr w:rsidR="00E027CC" w:rsidTr="00FB781C">
        <w:trPr>
          <w:trHeight w:val="380"/>
        </w:trPr>
        <w:tc>
          <w:tcPr>
            <w:tcW w:w="2400" w:type="dxa"/>
            <w:vAlign w:val="center"/>
          </w:tcPr>
          <w:p w:rsidR="00E027CC" w:rsidRDefault="00346DA8">
            <w:pPr>
              <w:pBdr>
                <w:top w:val="nil"/>
                <w:left w:val="nil"/>
                <w:bottom w:val="nil"/>
                <w:right w:val="nil"/>
                <w:between w:val="nil"/>
              </w:pBdr>
              <w:spacing w:before="60" w:after="60"/>
              <w:jc w:val="center"/>
              <w:rPr>
                <w:rFonts w:ascii="Arial" w:eastAsia="Arial" w:hAnsi="Arial" w:cs="Arial"/>
                <w:color w:val="000000"/>
                <w:sz w:val="22"/>
                <w:szCs w:val="22"/>
                <w:highlight w:val="yellow"/>
              </w:rPr>
            </w:pPr>
            <w:r>
              <w:rPr>
                <w:rFonts w:ascii="Arial" w:eastAsia="Arial" w:hAnsi="Arial" w:cs="Arial"/>
                <w:sz w:val="22"/>
                <w:szCs w:val="22"/>
              </w:rPr>
              <w:t>09/07/2018</w:t>
            </w:r>
          </w:p>
        </w:tc>
        <w:tc>
          <w:tcPr>
            <w:tcW w:w="6030" w:type="dxa"/>
          </w:tcPr>
          <w:p w:rsidR="00E027CC" w:rsidRDefault="00346DA8">
            <w:pPr>
              <w:pBdr>
                <w:top w:val="nil"/>
                <w:left w:val="nil"/>
                <w:bottom w:val="nil"/>
                <w:right w:val="nil"/>
                <w:between w:val="nil"/>
              </w:pBdr>
              <w:spacing w:before="60" w:after="60"/>
              <w:rPr>
                <w:rFonts w:ascii="Arial" w:eastAsia="Arial" w:hAnsi="Arial" w:cs="Arial"/>
                <w:color w:val="000000"/>
                <w:sz w:val="22"/>
                <w:szCs w:val="22"/>
              </w:rPr>
            </w:pPr>
            <w:r>
              <w:rPr>
                <w:rFonts w:ascii="Arial" w:eastAsia="Arial" w:hAnsi="Arial" w:cs="Arial"/>
                <w:color w:val="000000"/>
                <w:sz w:val="22"/>
                <w:szCs w:val="22"/>
              </w:rPr>
              <w:t>Despatch of the OJEU Contract Notice</w:t>
            </w:r>
          </w:p>
        </w:tc>
      </w:tr>
      <w:tr w:rsidR="00E027CC" w:rsidTr="00FB781C">
        <w:trPr>
          <w:trHeight w:val="380"/>
        </w:trPr>
        <w:tc>
          <w:tcPr>
            <w:tcW w:w="2400" w:type="dxa"/>
            <w:vAlign w:val="center"/>
          </w:tcPr>
          <w:p w:rsidR="00E027CC" w:rsidRDefault="00346DA8">
            <w:pPr>
              <w:pBdr>
                <w:top w:val="nil"/>
                <w:left w:val="nil"/>
                <w:bottom w:val="nil"/>
                <w:right w:val="nil"/>
                <w:between w:val="nil"/>
              </w:pBdr>
              <w:spacing w:before="60" w:after="60"/>
              <w:jc w:val="center"/>
              <w:rPr>
                <w:rFonts w:ascii="Arial" w:eastAsia="Arial" w:hAnsi="Arial" w:cs="Arial"/>
                <w:color w:val="000000"/>
                <w:sz w:val="22"/>
                <w:szCs w:val="22"/>
              </w:rPr>
            </w:pPr>
            <w:r>
              <w:rPr>
                <w:rFonts w:ascii="Arial" w:eastAsia="Arial" w:hAnsi="Arial" w:cs="Arial"/>
                <w:sz w:val="22"/>
                <w:szCs w:val="22"/>
              </w:rPr>
              <w:t>11/07/2018</w:t>
            </w:r>
          </w:p>
        </w:tc>
        <w:tc>
          <w:tcPr>
            <w:tcW w:w="6030" w:type="dxa"/>
          </w:tcPr>
          <w:p w:rsidR="00E027CC" w:rsidRDefault="00346DA8">
            <w:pPr>
              <w:pBdr>
                <w:top w:val="nil"/>
                <w:left w:val="nil"/>
                <w:bottom w:val="nil"/>
                <w:right w:val="nil"/>
                <w:between w:val="nil"/>
              </w:pBdr>
              <w:spacing w:before="60" w:after="60"/>
              <w:rPr>
                <w:rFonts w:ascii="Arial" w:eastAsia="Arial" w:hAnsi="Arial" w:cs="Arial"/>
                <w:color w:val="000000"/>
                <w:sz w:val="22"/>
                <w:szCs w:val="22"/>
              </w:rPr>
            </w:pPr>
            <w:r>
              <w:rPr>
                <w:rFonts w:ascii="Arial" w:eastAsia="Arial" w:hAnsi="Arial" w:cs="Arial"/>
                <w:color w:val="000000"/>
                <w:sz w:val="22"/>
                <w:szCs w:val="22"/>
              </w:rPr>
              <w:t>Clarification period starts</w:t>
            </w:r>
          </w:p>
        </w:tc>
      </w:tr>
      <w:tr w:rsidR="00EC4846" w:rsidTr="00FB781C">
        <w:trPr>
          <w:trHeight w:val="380"/>
        </w:trPr>
        <w:tc>
          <w:tcPr>
            <w:tcW w:w="2400" w:type="dxa"/>
            <w:vAlign w:val="center"/>
          </w:tcPr>
          <w:p w:rsidR="00EC4846" w:rsidRDefault="00EC4846">
            <w:pPr>
              <w:pBdr>
                <w:top w:val="nil"/>
                <w:left w:val="nil"/>
                <w:bottom w:val="nil"/>
                <w:right w:val="nil"/>
                <w:between w:val="nil"/>
              </w:pBdr>
              <w:spacing w:before="60" w:after="60"/>
              <w:jc w:val="center"/>
              <w:rPr>
                <w:rFonts w:ascii="Arial" w:eastAsia="Arial" w:hAnsi="Arial" w:cs="Arial"/>
                <w:color w:val="000000"/>
              </w:rPr>
            </w:pPr>
            <w:r w:rsidRPr="00EC4846">
              <w:rPr>
                <w:rFonts w:ascii="Arial" w:eastAsia="Arial" w:hAnsi="Arial" w:cs="Arial"/>
                <w:sz w:val="22"/>
                <w:szCs w:val="22"/>
              </w:rPr>
              <w:t>18/07/2018</w:t>
            </w:r>
          </w:p>
        </w:tc>
        <w:tc>
          <w:tcPr>
            <w:tcW w:w="6030" w:type="dxa"/>
          </w:tcPr>
          <w:p w:rsidR="00EC4846" w:rsidRPr="00EC4846" w:rsidRDefault="00EC4846">
            <w:pPr>
              <w:pBdr>
                <w:top w:val="nil"/>
                <w:left w:val="nil"/>
                <w:bottom w:val="nil"/>
                <w:right w:val="nil"/>
                <w:between w:val="nil"/>
              </w:pBdr>
              <w:spacing w:before="60" w:after="60"/>
              <w:rPr>
                <w:rFonts w:ascii="Arial" w:eastAsia="Arial" w:hAnsi="Arial" w:cs="Arial"/>
                <w:color w:val="000000"/>
                <w:sz w:val="22"/>
                <w:szCs w:val="22"/>
              </w:rPr>
            </w:pPr>
            <w:r w:rsidRPr="00EC4846">
              <w:rPr>
                <w:rFonts w:ascii="Arial" w:eastAsia="Arial" w:hAnsi="Arial" w:cs="Arial"/>
                <w:color w:val="000000"/>
                <w:sz w:val="22"/>
                <w:szCs w:val="22"/>
              </w:rPr>
              <w:t>Potential Provider Clarification Webinar</w:t>
            </w:r>
            <w:r>
              <w:rPr>
                <w:rFonts w:ascii="Arial" w:eastAsia="Arial" w:hAnsi="Arial" w:cs="Arial"/>
                <w:color w:val="000000"/>
                <w:sz w:val="22"/>
                <w:szCs w:val="22"/>
              </w:rPr>
              <w:t xml:space="preserve"> (see paragraph 4.3 for further details)</w:t>
            </w:r>
          </w:p>
        </w:tc>
      </w:tr>
      <w:tr w:rsidR="00E027CC" w:rsidTr="00FB781C">
        <w:trPr>
          <w:trHeight w:val="380"/>
        </w:trPr>
        <w:tc>
          <w:tcPr>
            <w:tcW w:w="2400" w:type="dxa"/>
            <w:vAlign w:val="center"/>
          </w:tcPr>
          <w:p w:rsidR="00E027CC" w:rsidRDefault="00346DA8">
            <w:pPr>
              <w:pBdr>
                <w:top w:val="nil"/>
                <w:left w:val="nil"/>
                <w:bottom w:val="nil"/>
                <w:right w:val="nil"/>
                <w:between w:val="nil"/>
              </w:pBdr>
              <w:spacing w:before="60" w:after="60"/>
              <w:jc w:val="center"/>
              <w:rPr>
                <w:rFonts w:ascii="Arial" w:eastAsia="Arial" w:hAnsi="Arial" w:cs="Arial"/>
                <w:color w:val="000000"/>
                <w:sz w:val="22"/>
                <w:szCs w:val="22"/>
              </w:rPr>
            </w:pPr>
            <w:r>
              <w:rPr>
                <w:rFonts w:ascii="Arial" w:eastAsia="Arial" w:hAnsi="Arial" w:cs="Arial"/>
                <w:color w:val="000000"/>
                <w:sz w:val="22"/>
                <w:szCs w:val="22"/>
              </w:rPr>
              <w:t xml:space="preserve">17:00.00 BST </w:t>
            </w:r>
            <w:r>
              <w:rPr>
                <w:rFonts w:ascii="Arial" w:eastAsia="Arial" w:hAnsi="Arial" w:cs="Arial"/>
                <w:sz w:val="22"/>
                <w:szCs w:val="22"/>
              </w:rPr>
              <w:t>20/07/2018</w:t>
            </w:r>
          </w:p>
        </w:tc>
        <w:tc>
          <w:tcPr>
            <w:tcW w:w="6030" w:type="dxa"/>
          </w:tcPr>
          <w:p w:rsidR="00E027CC" w:rsidRDefault="00346DA8">
            <w:pPr>
              <w:pBdr>
                <w:top w:val="nil"/>
                <w:left w:val="nil"/>
                <w:bottom w:val="nil"/>
                <w:right w:val="nil"/>
                <w:between w:val="nil"/>
              </w:pBdr>
              <w:spacing w:before="60" w:after="60"/>
              <w:rPr>
                <w:rFonts w:ascii="Arial" w:eastAsia="Arial" w:hAnsi="Arial" w:cs="Arial"/>
                <w:color w:val="000000"/>
                <w:sz w:val="22"/>
                <w:szCs w:val="22"/>
              </w:rPr>
            </w:pPr>
            <w:r>
              <w:rPr>
                <w:rFonts w:ascii="Arial" w:eastAsia="Arial" w:hAnsi="Arial" w:cs="Arial"/>
                <w:color w:val="000000"/>
                <w:sz w:val="22"/>
                <w:szCs w:val="22"/>
              </w:rPr>
              <w:t>Clarification period closes (“</w:t>
            </w:r>
            <w:r>
              <w:rPr>
                <w:rFonts w:ascii="Arial" w:eastAsia="Arial" w:hAnsi="Arial" w:cs="Arial"/>
                <w:b/>
                <w:color w:val="000000"/>
                <w:sz w:val="22"/>
                <w:szCs w:val="22"/>
              </w:rPr>
              <w:t>Tender Clarifications Deadline</w:t>
            </w:r>
            <w:r>
              <w:rPr>
                <w:rFonts w:ascii="Arial" w:eastAsia="Arial" w:hAnsi="Arial" w:cs="Arial"/>
                <w:color w:val="000000"/>
                <w:sz w:val="22"/>
                <w:szCs w:val="22"/>
              </w:rPr>
              <w:t>”)</w:t>
            </w:r>
          </w:p>
        </w:tc>
      </w:tr>
      <w:tr w:rsidR="00E027CC" w:rsidTr="00FB781C">
        <w:trPr>
          <w:trHeight w:val="380"/>
        </w:trPr>
        <w:tc>
          <w:tcPr>
            <w:tcW w:w="2400" w:type="dxa"/>
            <w:vAlign w:val="center"/>
          </w:tcPr>
          <w:p w:rsidR="00E027CC" w:rsidRDefault="00346DA8">
            <w:pPr>
              <w:pBdr>
                <w:top w:val="nil"/>
                <w:left w:val="nil"/>
                <w:bottom w:val="nil"/>
                <w:right w:val="nil"/>
                <w:between w:val="nil"/>
              </w:pBdr>
              <w:spacing w:before="60" w:after="60"/>
              <w:jc w:val="center"/>
              <w:rPr>
                <w:rFonts w:ascii="Arial" w:eastAsia="Arial" w:hAnsi="Arial" w:cs="Arial"/>
                <w:color w:val="000000"/>
                <w:sz w:val="22"/>
                <w:szCs w:val="22"/>
              </w:rPr>
            </w:pPr>
            <w:r>
              <w:rPr>
                <w:rFonts w:ascii="Arial" w:eastAsia="Arial" w:hAnsi="Arial" w:cs="Arial"/>
                <w:color w:val="000000"/>
                <w:sz w:val="22"/>
                <w:szCs w:val="22"/>
              </w:rPr>
              <w:t xml:space="preserve">17:00.00 BST </w:t>
            </w:r>
            <w:r>
              <w:rPr>
                <w:rFonts w:ascii="Arial" w:eastAsia="Arial" w:hAnsi="Arial" w:cs="Arial"/>
                <w:sz w:val="22"/>
                <w:szCs w:val="22"/>
              </w:rPr>
              <w:t>27/07/2018</w:t>
            </w:r>
          </w:p>
        </w:tc>
        <w:tc>
          <w:tcPr>
            <w:tcW w:w="6030" w:type="dxa"/>
          </w:tcPr>
          <w:p w:rsidR="00E027CC" w:rsidRDefault="00346DA8">
            <w:pPr>
              <w:pBdr>
                <w:top w:val="nil"/>
                <w:left w:val="nil"/>
                <w:bottom w:val="nil"/>
                <w:right w:val="nil"/>
                <w:between w:val="nil"/>
              </w:pBdr>
              <w:spacing w:before="60" w:after="60"/>
              <w:rPr>
                <w:rFonts w:ascii="Arial" w:eastAsia="Arial" w:hAnsi="Arial" w:cs="Arial"/>
                <w:b/>
                <w:i/>
                <w:color w:val="000000"/>
                <w:sz w:val="22"/>
                <w:szCs w:val="22"/>
              </w:rPr>
            </w:pPr>
            <w:r>
              <w:rPr>
                <w:rFonts w:ascii="Arial" w:eastAsia="Arial" w:hAnsi="Arial" w:cs="Arial"/>
                <w:color w:val="000000"/>
                <w:sz w:val="22"/>
                <w:szCs w:val="22"/>
              </w:rPr>
              <w:t xml:space="preserve">Deadline for the publication of responses to Tender Clarification questions </w:t>
            </w:r>
          </w:p>
        </w:tc>
      </w:tr>
      <w:tr w:rsidR="00E027CC" w:rsidTr="00FB781C">
        <w:trPr>
          <w:trHeight w:val="380"/>
        </w:trPr>
        <w:tc>
          <w:tcPr>
            <w:tcW w:w="2400" w:type="dxa"/>
            <w:vAlign w:val="center"/>
          </w:tcPr>
          <w:p w:rsidR="00E027CC" w:rsidRDefault="00346DA8">
            <w:pPr>
              <w:pBdr>
                <w:top w:val="nil"/>
                <w:left w:val="nil"/>
                <w:bottom w:val="nil"/>
                <w:right w:val="nil"/>
                <w:between w:val="nil"/>
              </w:pBdr>
              <w:spacing w:before="60" w:after="60"/>
              <w:jc w:val="center"/>
              <w:rPr>
                <w:rFonts w:ascii="Arial" w:eastAsia="Arial" w:hAnsi="Arial" w:cs="Arial"/>
                <w:color w:val="000000"/>
                <w:sz w:val="22"/>
                <w:szCs w:val="22"/>
              </w:rPr>
            </w:pPr>
            <w:r>
              <w:rPr>
                <w:rFonts w:ascii="Arial" w:eastAsia="Arial" w:hAnsi="Arial" w:cs="Arial"/>
                <w:color w:val="000000"/>
                <w:sz w:val="22"/>
                <w:szCs w:val="22"/>
              </w:rPr>
              <w:t xml:space="preserve">15:00.00 BST </w:t>
            </w:r>
            <w:r>
              <w:rPr>
                <w:rFonts w:ascii="Arial" w:eastAsia="Arial" w:hAnsi="Arial" w:cs="Arial"/>
                <w:sz w:val="22"/>
                <w:szCs w:val="22"/>
              </w:rPr>
              <w:t>06/08/2018</w:t>
            </w:r>
          </w:p>
        </w:tc>
        <w:tc>
          <w:tcPr>
            <w:tcW w:w="6030" w:type="dxa"/>
          </w:tcPr>
          <w:p w:rsidR="00E027CC" w:rsidRDefault="00346DA8">
            <w:pPr>
              <w:pBdr>
                <w:top w:val="nil"/>
                <w:left w:val="nil"/>
                <w:bottom w:val="nil"/>
                <w:right w:val="nil"/>
                <w:between w:val="nil"/>
              </w:pBdr>
              <w:spacing w:before="60" w:after="60"/>
              <w:rPr>
                <w:rFonts w:ascii="Arial" w:eastAsia="Arial" w:hAnsi="Arial" w:cs="Arial"/>
                <w:color w:val="000000"/>
                <w:sz w:val="22"/>
                <w:szCs w:val="22"/>
              </w:rPr>
            </w:pPr>
            <w:r>
              <w:rPr>
                <w:rFonts w:ascii="Arial" w:eastAsia="Arial" w:hAnsi="Arial" w:cs="Arial"/>
                <w:color w:val="000000"/>
                <w:sz w:val="22"/>
                <w:szCs w:val="22"/>
              </w:rPr>
              <w:t>Deadline for submission of Tenders to the Authority (“</w:t>
            </w:r>
            <w:r>
              <w:rPr>
                <w:rFonts w:ascii="Arial" w:eastAsia="Arial" w:hAnsi="Arial" w:cs="Arial"/>
                <w:b/>
                <w:color w:val="000000"/>
                <w:sz w:val="22"/>
                <w:szCs w:val="22"/>
              </w:rPr>
              <w:t>Tender Submission Deadline</w:t>
            </w:r>
            <w:r>
              <w:rPr>
                <w:rFonts w:ascii="Arial" w:eastAsia="Arial" w:hAnsi="Arial" w:cs="Arial"/>
                <w:color w:val="000000"/>
                <w:sz w:val="22"/>
                <w:szCs w:val="22"/>
              </w:rPr>
              <w:t xml:space="preserve">”) </w:t>
            </w:r>
          </w:p>
        </w:tc>
      </w:tr>
      <w:tr w:rsidR="00E027CC" w:rsidTr="00FB781C">
        <w:trPr>
          <w:trHeight w:val="380"/>
        </w:trPr>
        <w:tc>
          <w:tcPr>
            <w:tcW w:w="2400" w:type="dxa"/>
            <w:vAlign w:val="center"/>
          </w:tcPr>
          <w:p w:rsidR="00E027CC" w:rsidRDefault="00346DA8">
            <w:pPr>
              <w:pBdr>
                <w:top w:val="nil"/>
                <w:left w:val="nil"/>
                <w:bottom w:val="nil"/>
                <w:right w:val="nil"/>
                <w:between w:val="nil"/>
              </w:pBdr>
              <w:spacing w:before="60" w:after="60"/>
              <w:jc w:val="center"/>
              <w:rPr>
                <w:rFonts w:ascii="Arial" w:eastAsia="Arial" w:hAnsi="Arial" w:cs="Arial"/>
                <w:color w:val="000000"/>
                <w:sz w:val="22"/>
                <w:szCs w:val="22"/>
              </w:rPr>
            </w:pPr>
            <w:r>
              <w:rPr>
                <w:rFonts w:ascii="Arial" w:eastAsia="Arial" w:hAnsi="Arial" w:cs="Arial"/>
                <w:sz w:val="22"/>
                <w:szCs w:val="22"/>
              </w:rPr>
              <w:t>30</w:t>
            </w:r>
            <w:r>
              <w:rPr>
                <w:rFonts w:ascii="Arial" w:eastAsia="Arial" w:hAnsi="Arial" w:cs="Arial"/>
                <w:color w:val="000000"/>
                <w:sz w:val="22"/>
                <w:szCs w:val="22"/>
              </w:rPr>
              <w:t>/0</w:t>
            </w:r>
            <w:r>
              <w:rPr>
                <w:rFonts w:ascii="Arial" w:eastAsia="Arial" w:hAnsi="Arial" w:cs="Arial"/>
                <w:sz w:val="22"/>
                <w:szCs w:val="22"/>
              </w:rPr>
              <w:t>8</w:t>
            </w:r>
            <w:r>
              <w:rPr>
                <w:rFonts w:ascii="Arial" w:eastAsia="Arial" w:hAnsi="Arial" w:cs="Arial"/>
                <w:color w:val="000000"/>
                <w:sz w:val="22"/>
                <w:szCs w:val="22"/>
              </w:rPr>
              <w:t>/2018</w:t>
            </w:r>
          </w:p>
        </w:tc>
        <w:tc>
          <w:tcPr>
            <w:tcW w:w="6030" w:type="dxa"/>
          </w:tcPr>
          <w:p w:rsidR="00E027CC" w:rsidRDefault="00346DA8">
            <w:pPr>
              <w:pBdr>
                <w:top w:val="nil"/>
                <w:left w:val="nil"/>
                <w:bottom w:val="nil"/>
                <w:right w:val="nil"/>
                <w:between w:val="nil"/>
              </w:pBdr>
              <w:spacing w:before="60" w:after="60"/>
              <w:rPr>
                <w:rFonts w:ascii="Arial" w:eastAsia="Arial" w:hAnsi="Arial" w:cs="Arial"/>
                <w:color w:val="000000"/>
                <w:sz w:val="22"/>
                <w:szCs w:val="22"/>
              </w:rPr>
            </w:pPr>
            <w:r>
              <w:rPr>
                <w:rFonts w:ascii="Arial" w:eastAsia="Arial" w:hAnsi="Arial" w:cs="Arial"/>
                <w:color w:val="000000"/>
                <w:sz w:val="22"/>
                <w:szCs w:val="22"/>
              </w:rPr>
              <w:t>Intention to award notices issued to successful and unsuccessful Potential Providers.</w:t>
            </w:r>
          </w:p>
        </w:tc>
      </w:tr>
      <w:tr w:rsidR="00E027CC" w:rsidTr="00FB781C">
        <w:trPr>
          <w:trHeight w:val="380"/>
        </w:trPr>
        <w:tc>
          <w:tcPr>
            <w:tcW w:w="2400" w:type="dxa"/>
            <w:vAlign w:val="center"/>
          </w:tcPr>
          <w:p w:rsidR="00E027CC" w:rsidRDefault="00346DA8">
            <w:pPr>
              <w:pBdr>
                <w:top w:val="nil"/>
                <w:left w:val="nil"/>
                <w:bottom w:val="nil"/>
                <w:right w:val="nil"/>
                <w:between w:val="nil"/>
              </w:pBdr>
              <w:spacing w:before="60" w:after="60"/>
              <w:jc w:val="center"/>
              <w:rPr>
                <w:rFonts w:ascii="Arial" w:eastAsia="Arial" w:hAnsi="Arial" w:cs="Arial"/>
                <w:color w:val="000000"/>
                <w:sz w:val="22"/>
                <w:szCs w:val="22"/>
              </w:rPr>
            </w:pPr>
            <w:r>
              <w:rPr>
                <w:rFonts w:ascii="Arial" w:eastAsia="Arial" w:hAnsi="Arial" w:cs="Arial"/>
                <w:sz w:val="22"/>
                <w:szCs w:val="22"/>
              </w:rPr>
              <w:t>31/08/2018 to 23:59:00 10/09/2018</w:t>
            </w:r>
          </w:p>
        </w:tc>
        <w:tc>
          <w:tcPr>
            <w:tcW w:w="6030" w:type="dxa"/>
          </w:tcPr>
          <w:p w:rsidR="00E027CC" w:rsidRDefault="00346DA8">
            <w:pPr>
              <w:pBdr>
                <w:top w:val="nil"/>
                <w:left w:val="nil"/>
                <w:bottom w:val="nil"/>
                <w:right w:val="nil"/>
                <w:between w:val="nil"/>
              </w:pBdr>
              <w:spacing w:before="60" w:after="60"/>
              <w:rPr>
                <w:rFonts w:ascii="Arial" w:eastAsia="Arial" w:hAnsi="Arial" w:cs="Arial"/>
                <w:color w:val="000000"/>
                <w:sz w:val="22"/>
                <w:szCs w:val="22"/>
              </w:rPr>
            </w:pPr>
            <w:r>
              <w:rPr>
                <w:rFonts w:ascii="Arial" w:eastAsia="Arial" w:hAnsi="Arial" w:cs="Arial"/>
                <w:color w:val="000000"/>
                <w:sz w:val="22"/>
                <w:szCs w:val="22"/>
              </w:rPr>
              <w:t>10 day Standstill Period (in accordance with Regulation 87)</w:t>
            </w:r>
          </w:p>
        </w:tc>
      </w:tr>
      <w:tr w:rsidR="00E027CC" w:rsidTr="00FB781C">
        <w:trPr>
          <w:trHeight w:val="380"/>
        </w:trPr>
        <w:tc>
          <w:tcPr>
            <w:tcW w:w="2400" w:type="dxa"/>
            <w:vAlign w:val="center"/>
          </w:tcPr>
          <w:p w:rsidR="00E027CC" w:rsidRDefault="00346DA8">
            <w:pPr>
              <w:pBdr>
                <w:top w:val="nil"/>
                <w:left w:val="nil"/>
                <w:bottom w:val="nil"/>
                <w:right w:val="nil"/>
                <w:between w:val="nil"/>
              </w:pBdr>
              <w:spacing w:before="60" w:after="60"/>
              <w:jc w:val="center"/>
              <w:rPr>
                <w:rFonts w:ascii="Arial" w:eastAsia="Arial" w:hAnsi="Arial" w:cs="Arial"/>
                <w:color w:val="000000"/>
                <w:sz w:val="22"/>
                <w:szCs w:val="22"/>
              </w:rPr>
            </w:pPr>
            <w:r>
              <w:rPr>
                <w:rFonts w:ascii="Arial" w:eastAsia="Arial" w:hAnsi="Arial" w:cs="Arial"/>
                <w:color w:val="000000"/>
                <w:sz w:val="22"/>
                <w:szCs w:val="22"/>
              </w:rPr>
              <w:t xml:space="preserve"> </w:t>
            </w:r>
            <w:r>
              <w:rPr>
                <w:rFonts w:ascii="Arial" w:eastAsia="Arial" w:hAnsi="Arial" w:cs="Arial"/>
                <w:sz w:val="22"/>
                <w:szCs w:val="22"/>
              </w:rPr>
              <w:t>11</w:t>
            </w:r>
            <w:r>
              <w:rPr>
                <w:rFonts w:ascii="Arial" w:eastAsia="Arial" w:hAnsi="Arial" w:cs="Arial"/>
                <w:color w:val="000000"/>
                <w:sz w:val="22"/>
                <w:szCs w:val="22"/>
              </w:rPr>
              <w:t>/09/2018</w:t>
            </w:r>
          </w:p>
        </w:tc>
        <w:tc>
          <w:tcPr>
            <w:tcW w:w="6030" w:type="dxa"/>
          </w:tcPr>
          <w:p w:rsidR="00E027CC" w:rsidRDefault="00346DA8">
            <w:pPr>
              <w:pBdr>
                <w:top w:val="nil"/>
                <w:left w:val="nil"/>
                <w:bottom w:val="nil"/>
                <w:right w:val="nil"/>
                <w:between w:val="nil"/>
              </w:pBdr>
              <w:spacing w:before="60" w:after="60"/>
              <w:rPr>
                <w:rFonts w:ascii="Arial" w:eastAsia="Arial" w:hAnsi="Arial" w:cs="Arial"/>
                <w:color w:val="000000"/>
                <w:sz w:val="22"/>
                <w:szCs w:val="22"/>
              </w:rPr>
            </w:pPr>
            <w:r>
              <w:rPr>
                <w:rFonts w:ascii="Arial" w:eastAsia="Arial" w:hAnsi="Arial" w:cs="Arial"/>
                <w:color w:val="000000"/>
                <w:sz w:val="22"/>
                <w:szCs w:val="22"/>
              </w:rPr>
              <w:t>Expected execution (signature) date for Framework Agreement (s)</w:t>
            </w:r>
          </w:p>
        </w:tc>
      </w:tr>
      <w:tr w:rsidR="00E027CC" w:rsidTr="00FB781C">
        <w:trPr>
          <w:trHeight w:val="380"/>
        </w:trPr>
        <w:tc>
          <w:tcPr>
            <w:tcW w:w="2400" w:type="dxa"/>
            <w:vAlign w:val="center"/>
          </w:tcPr>
          <w:p w:rsidR="00E027CC" w:rsidRDefault="00346DA8">
            <w:pPr>
              <w:pBdr>
                <w:top w:val="nil"/>
                <w:left w:val="nil"/>
                <w:bottom w:val="nil"/>
                <w:right w:val="nil"/>
                <w:between w:val="nil"/>
              </w:pBdr>
              <w:spacing w:before="60" w:after="60"/>
              <w:jc w:val="center"/>
              <w:rPr>
                <w:rFonts w:ascii="Arial" w:eastAsia="Arial" w:hAnsi="Arial" w:cs="Arial"/>
                <w:color w:val="000000"/>
                <w:sz w:val="22"/>
                <w:szCs w:val="22"/>
              </w:rPr>
            </w:pPr>
            <w:r>
              <w:rPr>
                <w:rFonts w:ascii="Arial" w:eastAsia="Arial" w:hAnsi="Arial" w:cs="Arial"/>
                <w:sz w:val="22"/>
                <w:szCs w:val="22"/>
              </w:rPr>
              <w:t>11/09/2018</w:t>
            </w:r>
          </w:p>
        </w:tc>
        <w:tc>
          <w:tcPr>
            <w:tcW w:w="6030" w:type="dxa"/>
          </w:tcPr>
          <w:p w:rsidR="00E027CC" w:rsidRDefault="00346DA8">
            <w:pPr>
              <w:pBdr>
                <w:top w:val="nil"/>
                <w:left w:val="nil"/>
                <w:bottom w:val="nil"/>
                <w:right w:val="nil"/>
                <w:between w:val="nil"/>
              </w:pBdr>
              <w:spacing w:before="60" w:after="60"/>
              <w:rPr>
                <w:rFonts w:ascii="Arial" w:eastAsia="Arial" w:hAnsi="Arial" w:cs="Arial"/>
                <w:color w:val="000000"/>
                <w:sz w:val="22"/>
                <w:szCs w:val="22"/>
              </w:rPr>
            </w:pPr>
            <w:r>
              <w:rPr>
                <w:rFonts w:ascii="Arial" w:eastAsia="Arial" w:hAnsi="Arial" w:cs="Arial"/>
                <w:color w:val="000000"/>
                <w:sz w:val="22"/>
                <w:szCs w:val="22"/>
              </w:rPr>
              <w:t>Expected commencement date for Framework Agreement(s)</w:t>
            </w:r>
          </w:p>
        </w:tc>
      </w:tr>
    </w:tbl>
    <w:p w:rsidR="00E027CC" w:rsidRDefault="00E027CC">
      <w:pPr>
        <w:pStyle w:val="Heading2"/>
        <w:ind w:left="851"/>
        <w:rPr>
          <w:sz w:val="22"/>
          <w:szCs w:val="22"/>
        </w:rPr>
      </w:pPr>
    </w:p>
    <w:p w:rsidR="00EC4846" w:rsidRPr="00EC4846" w:rsidRDefault="00EC4846" w:rsidP="00EC4846">
      <w:pPr>
        <w:pStyle w:val="Heading2"/>
        <w:numPr>
          <w:ilvl w:val="1"/>
          <w:numId w:val="3"/>
        </w:numPr>
        <w:rPr>
          <w:b/>
          <w:sz w:val="22"/>
          <w:szCs w:val="22"/>
        </w:rPr>
      </w:pPr>
      <w:r w:rsidRPr="00EC4846">
        <w:rPr>
          <w:b/>
          <w:sz w:val="22"/>
          <w:szCs w:val="22"/>
        </w:rPr>
        <w:t>Potential Provider Clarification Webinar</w:t>
      </w:r>
    </w:p>
    <w:p w:rsidR="00EC4846" w:rsidRDefault="00EC4846" w:rsidP="00EC4846">
      <w:pPr>
        <w:pStyle w:val="Heading3"/>
        <w:numPr>
          <w:ilvl w:val="2"/>
          <w:numId w:val="3"/>
        </w:numPr>
        <w:ind w:left="1700" w:hanging="735"/>
      </w:pPr>
      <w:r w:rsidRPr="00EC4846">
        <w:t>A presentation and clarification webinar will be held on Wednesday 18thJuly 2018.  Potential key stakeholders seeking to on-board to this requirement will be offering a high level overview during the webinar and then you will be provided with an opportunity to seek clarification on any matters relating to this Procurement and the requirements in an anonymised forum.  Once the presentation is complete, you will be able to send your questions, live, via the chat function within the webinar itself, these questions will be answered where possible and taken away for consideration if necessary.  All information, questions and answers, will be shared with all Potential Providers following the webinar in the e-Sourcing</w:t>
      </w:r>
      <w:r>
        <w:t xml:space="preserve"> Suite.</w:t>
      </w:r>
    </w:p>
    <w:p w:rsidR="00EC4846" w:rsidRPr="00EC4846" w:rsidRDefault="00EC4846" w:rsidP="00EC4846">
      <w:pPr>
        <w:pStyle w:val="Heading3"/>
        <w:numPr>
          <w:ilvl w:val="2"/>
          <w:numId w:val="3"/>
        </w:numPr>
        <w:ind w:left="1700" w:hanging="735"/>
      </w:pPr>
      <w:r>
        <w:t xml:space="preserve">Please monitor the Procurement page on our </w:t>
      </w:r>
      <w:r w:rsidRPr="00EC4846">
        <w:t>website for</w:t>
      </w:r>
      <w:r>
        <w:t xml:space="preserve"> further </w:t>
      </w:r>
      <w:r w:rsidRPr="00EC4846">
        <w:t xml:space="preserve">details </w:t>
      </w:r>
      <w:r>
        <w:t>h</w:t>
      </w:r>
      <w:r w:rsidRPr="00EC4846">
        <w:t>ttps://ccs-agreements.cabinetoffice.gov.uk/node/7354</w:t>
      </w:r>
      <w:r>
        <w:t>.</w:t>
      </w:r>
    </w:p>
    <w:p w:rsidR="00EC4846" w:rsidRPr="00EC4846" w:rsidRDefault="00EC4846" w:rsidP="00EC4846"/>
    <w:p w:rsidR="00E027CC" w:rsidRDefault="00346DA8">
      <w:pPr>
        <w:rPr>
          <w:rFonts w:ascii="Arial" w:eastAsia="Arial" w:hAnsi="Arial" w:cs="Arial"/>
          <w:b/>
          <w:smallCaps/>
          <w:sz w:val="20"/>
          <w:szCs w:val="20"/>
        </w:rPr>
      </w:pPr>
      <w:r>
        <w:br w:type="page"/>
      </w:r>
    </w:p>
    <w:p w:rsidR="00E027CC" w:rsidRDefault="00346DA8" w:rsidP="00FB781C">
      <w:pPr>
        <w:pStyle w:val="Heading1"/>
        <w:numPr>
          <w:ilvl w:val="0"/>
          <w:numId w:val="3"/>
        </w:numPr>
        <w:pBdr>
          <w:top w:val="nil"/>
          <w:left w:val="nil"/>
          <w:bottom w:val="nil"/>
          <w:right w:val="nil"/>
          <w:between w:val="nil"/>
        </w:pBdr>
        <w:rPr>
          <w:sz w:val="22"/>
          <w:szCs w:val="22"/>
        </w:rPr>
      </w:pPr>
      <w:bookmarkStart w:id="8" w:name="_f9p9f66tt93r" w:colFirst="0" w:colLast="0"/>
      <w:bookmarkEnd w:id="8"/>
      <w:r>
        <w:rPr>
          <w:sz w:val="22"/>
          <w:szCs w:val="22"/>
        </w:rPr>
        <w:lastRenderedPageBreak/>
        <w:t>COMPLETING AND SUBMITTING A TENDER</w:t>
      </w:r>
    </w:p>
    <w:p w:rsidR="00E027CC" w:rsidRDefault="00346DA8" w:rsidP="00FB781C">
      <w:pPr>
        <w:pStyle w:val="Heading2"/>
        <w:numPr>
          <w:ilvl w:val="1"/>
          <w:numId w:val="3"/>
        </w:numPr>
      </w:pPr>
      <w:r>
        <w:rPr>
          <w:sz w:val="22"/>
          <w:szCs w:val="22"/>
        </w:rPr>
        <w:t>To participate in this Procurement, you are required to submit a Tender which fully complies with the instructions in this ITT and its Attachments.</w:t>
      </w:r>
    </w:p>
    <w:p w:rsidR="00E027CC" w:rsidRDefault="00346DA8" w:rsidP="00FB781C">
      <w:pPr>
        <w:pStyle w:val="Heading2"/>
        <w:numPr>
          <w:ilvl w:val="1"/>
          <w:numId w:val="3"/>
        </w:numPr>
      </w:pPr>
      <w:r>
        <w:rPr>
          <w:sz w:val="22"/>
          <w:szCs w:val="22"/>
        </w:rPr>
        <w:t>You are strongly advised to read through all documentation first to ensure you understand how to submit a fully compliant Tender.</w:t>
      </w:r>
    </w:p>
    <w:p w:rsidR="00E027CC" w:rsidRDefault="00346DA8" w:rsidP="00FB781C">
      <w:pPr>
        <w:pStyle w:val="Heading2"/>
        <w:numPr>
          <w:ilvl w:val="1"/>
          <w:numId w:val="3"/>
        </w:numPr>
      </w:pPr>
      <w:r>
        <w:rPr>
          <w:sz w:val="22"/>
          <w:szCs w:val="22"/>
        </w:rPr>
        <w:t xml:space="preserve">The information and documents that you are required to complete and return in order to submit a compliant Tender are: </w:t>
      </w:r>
    </w:p>
    <w:p w:rsidR="00E027CC" w:rsidRDefault="00346DA8" w:rsidP="00FB781C">
      <w:pPr>
        <w:pStyle w:val="Heading2"/>
        <w:numPr>
          <w:ilvl w:val="0"/>
          <w:numId w:val="5"/>
        </w:numPr>
        <w:rPr>
          <w:sz w:val="22"/>
          <w:szCs w:val="22"/>
        </w:rPr>
      </w:pPr>
      <w:r>
        <w:rPr>
          <w:sz w:val="22"/>
          <w:szCs w:val="22"/>
        </w:rPr>
        <w:t>Attachment 2 – Selection Questionnaire (</w:t>
      </w:r>
      <w:r w:rsidR="007B20B5">
        <w:rPr>
          <w:sz w:val="22"/>
          <w:szCs w:val="22"/>
        </w:rPr>
        <w:t xml:space="preserve">described </w:t>
      </w:r>
      <w:r>
        <w:rPr>
          <w:sz w:val="22"/>
          <w:szCs w:val="22"/>
        </w:rPr>
        <w:t xml:space="preserve">in the </w:t>
      </w:r>
      <w:proofErr w:type="spellStart"/>
      <w:r>
        <w:rPr>
          <w:sz w:val="22"/>
          <w:szCs w:val="22"/>
        </w:rPr>
        <w:t>eSourcing</w:t>
      </w:r>
      <w:proofErr w:type="spellEnd"/>
      <w:r>
        <w:rPr>
          <w:sz w:val="22"/>
          <w:szCs w:val="22"/>
        </w:rPr>
        <w:t xml:space="preserve"> Suite</w:t>
      </w:r>
      <w:r w:rsidR="007B20B5">
        <w:rPr>
          <w:sz w:val="22"/>
          <w:szCs w:val="22"/>
        </w:rPr>
        <w:t xml:space="preserve"> as the “Qualification Envelope”</w:t>
      </w:r>
      <w:r>
        <w:rPr>
          <w:sz w:val="22"/>
          <w:szCs w:val="22"/>
        </w:rPr>
        <w:t>);</w:t>
      </w:r>
    </w:p>
    <w:p w:rsidR="00E027CC" w:rsidRDefault="00346DA8" w:rsidP="00FB781C">
      <w:pPr>
        <w:pStyle w:val="Heading2"/>
        <w:numPr>
          <w:ilvl w:val="0"/>
          <w:numId w:val="5"/>
        </w:numPr>
        <w:rPr>
          <w:sz w:val="22"/>
          <w:szCs w:val="22"/>
        </w:rPr>
      </w:pPr>
      <w:r>
        <w:rPr>
          <w:sz w:val="22"/>
          <w:szCs w:val="22"/>
        </w:rPr>
        <w:t>Attachment 3 – Award Questionnaire and Evaluation Guidance (</w:t>
      </w:r>
      <w:r w:rsidR="007B20B5">
        <w:rPr>
          <w:sz w:val="22"/>
          <w:szCs w:val="22"/>
        </w:rPr>
        <w:t xml:space="preserve">described </w:t>
      </w:r>
      <w:r>
        <w:rPr>
          <w:sz w:val="22"/>
          <w:szCs w:val="22"/>
        </w:rPr>
        <w:t xml:space="preserve">in the </w:t>
      </w:r>
      <w:proofErr w:type="spellStart"/>
      <w:r>
        <w:rPr>
          <w:sz w:val="22"/>
          <w:szCs w:val="22"/>
        </w:rPr>
        <w:t>eSourcing</w:t>
      </w:r>
      <w:proofErr w:type="spellEnd"/>
      <w:r>
        <w:rPr>
          <w:sz w:val="22"/>
          <w:szCs w:val="22"/>
        </w:rPr>
        <w:t xml:space="preserve"> Suite</w:t>
      </w:r>
      <w:r w:rsidR="007B20B5">
        <w:rPr>
          <w:sz w:val="22"/>
          <w:szCs w:val="22"/>
        </w:rPr>
        <w:t xml:space="preserve"> as the “Technical Envelope”</w:t>
      </w:r>
      <w:r>
        <w:rPr>
          <w:sz w:val="22"/>
          <w:szCs w:val="22"/>
        </w:rPr>
        <w:t>);</w:t>
      </w:r>
    </w:p>
    <w:p w:rsidR="00E027CC" w:rsidRDefault="00346DA8" w:rsidP="00FB781C">
      <w:pPr>
        <w:pStyle w:val="Heading2"/>
        <w:numPr>
          <w:ilvl w:val="0"/>
          <w:numId w:val="5"/>
        </w:numPr>
        <w:rPr>
          <w:sz w:val="22"/>
          <w:szCs w:val="22"/>
        </w:rPr>
      </w:pPr>
      <w:r>
        <w:rPr>
          <w:sz w:val="22"/>
          <w:szCs w:val="22"/>
        </w:rPr>
        <w:t xml:space="preserve">Attachment 9 – Pricing Matrix (uploaded as an attachment to the </w:t>
      </w:r>
      <w:r w:rsidR="007B20B5">
        <w:rPr>
          <w:sz w:val="22"/>
          <w:szCs w:val="22"/>
        </w:rPr>
        <w:t>“Commercial E</w:t>
      </w:r>
      <w:r>
        <w:rPr>
          <w:sz w:val="22"/>
          <w:szCs w:val="22"/>
        </w:rPr>
        <w:t>nvelope</w:t>
      </w:r>
      <w:r w:rsidR="007B20B5">
        <w:rPr>
          <w:sz w:val="22"/>
          <w:szCs w:val="22"/>
        </w:rPr>
        <w:t>”</w:t>
      </w:r>
      <w:r>
        <w:rPr>
          <w:sz w:val="22"/>
          <w:szCs w:val="22"/>
        </w:rPr>
        <w:t xml:space="preserve"> question in the </w:t>
      </w:r>
      <w:proofErr w:type="spellStart"/>
      <w:r>
        <w:rPr>
          <w:sz w:val="22"/>
          <w:szCs w:val="22"/>
        </w:rPr>
        <w:t>eSourcing</w:t>
      </w:r>
      <w:proofErr w:type="spellEnd"/>
      <w:r>
        <w:rPr>
          <w:sz w:val="22"/>
          <w:szCs w:val="22"/>
        </w:rPr>
        <w:t xml:space="preserve"> Suite);</w:t>
      </w:r>
    </w:p>
    <w:p w:rsidR="00E027CC" w:rsidRDefault="00346DA8" w:rsidP="00FB781C">
      <w:pPr>
        <w:pStyle w:val="Heading2"/>
        <w:numPr>
          <w:ilvl w:val="0"/>
          <w:numId w:val="5"/>
        </w:numPr>
        <w:rPr>
          <w:sz w:val="22"/>
          <w:szCs w:val="22"/>
        </w:rPr>
      </w:pPr>
      <w:r>
        <w:rPr>
          <w:sz w:val="22"/>
          <w:szCs w:val="22"/>
        </w:rPr>
        <w:t>Attachment 11 – Framework Agreement Population Template (uploaded as an attachment to the question titled “Attachment 11 - Framework award form population template”</w:t>
      </w:r>
      <w:r w:rsidRPr="00FB781C">
        <w:rPr>
          <w:sz w:val="22"/>
        </w:rPr>
        <w:t xml:space="preserve"> </w:t>
      </w:r>
      <w:r>
        <w:rPr>
          <w:sz w:val="22"/>
          <w:szCs w:val="22"/>
        </w:rPr>
        <w:t xml:space="preserve">in the </w:t>
      </w:r>
      <w:proofErr w:type="spellStart"/>
      <w:r>
        <w:rPr>
          <w:sz w:val="22"/>
          <w:szCs w:val="22"/>
        </w:rPr>
        <w:t>eSourcing</w:t>
      </w:r>
      <w:proofErr w:type="spellEnd"/>
      <w:r>
        <w:rPr>
          <w:sz w:val="22"/>
          <w:szCs w:val="22"/>
        </w:rPr>
        <w:t xml:space="preserve"> Suite).</w:t>
      </w:r>
    </w:p>
    <w:p w:rsidR="00E027CC" w:rsidRDefault="00346DA8" w:rsidP="00FB781C">
      <w:pPr>
        <w:pStyle w:val="Heading2"/>
        <w:numPr>
          <w:ilvl w:val="1"/>
          <w:numId w:val="3"/>
        </w:numPr>
      </w:pPr>
      <w:r>
        <w:rPr>
          <w:sz w:val="22"/>
          <w:szCs w:val="22"/>
        </w:rPr>
        <w:t xml:space="preserve">The Authority utilises an </w:t>
      </w:r>
      <w:proofErr w:type="spellStart"/>
      <w:r>
        <w:rPr>
          <w:sz w:val="22"/>
          <w:szCs w:val="22"/>
        </w:rPr>
        <w:t>eSourcing</w:t>
      </w:r>
      <w:proofErr w:type="spellEnd"/>
      <w:r>
        <w:rPr>
          <w:sz w:val="22"/>
          <w:szCs w:val="22"/>
        </w:rPr>
        <w:t xml:space="preserve"> Suite to provide governance around the sourcing process. Your response must be managed through the </w:t>
      </w:r>
      <w:proofErr w:type="spellStart"/>
      <w:r>
        <w:rPr>
          <w:sz w:val="22"/>
          <w:szCs w:val="22"/>
        </w:rPr>
        <w:t>eSourcing</w:t>
      </w:r>
      <w:proofErr w:type="spellEnd"/>
      <w:r>
        <w:rPr>
          <w:sz w:val="22"/>
          <w:szCs w:val="22"/>
        </w:rPr>
        <w:t xml:space="preserve"> Suite. You are therefore advised of the following:</w:t>
      </w:r>
    </w:p>
    <w:p w:rsidR="00E027CC" w:rsidRDefault="00346DA8" w:rsidP="00FB781C">
      <w:pPr>
        <w:pStyle w:val="Heading3"/>
        <w:numPr>
          <w:ilvl w:val="2"/>
          <w:numId w:val="3"/>
        </w:numPr>
        <w:ind w:left="1700" w:hanging="735"/>
      </w:pPr>
      <w:r>
        <w:t>It is your responsibility to ensure that you submit a fully compliant Tender.</w:t>
      </w:r>
    </w:p>
    <w:p w:rsidR="00E027CC" w:rsidRDefault="00346DA8" w:rsidP="00FB781C">
      <w:pPr>
        <w:pStyle w:val="Heading3"/>
        <w:numPr>
          <w:ilvl w:val="2"/>
          <w:numId w:val="3"/>
        </w:numPr>
        <w:ind w:left="1700" w:hanging="735"/>
      </w:pPr>
      <w:r>
        <w:t>You must ensure that you are using the latest versions of this document and its Attachments, as the documentation may be updated from time to time.</w:t>
      </w:r>
    </w:p>
    <w:p w:rsidR="00E027CC" w:rsidRDefault="00346DA8" w:rsidP="00FB781C">
      <w:pPr>
        <w:pStyle w:val="Heading3"/>
        <w:numPr>
          <w:ilvl w:val="2"/>
          <w:numId w:val="3"/>
        </w:numPr>
        <w:ind w:left="1700" w:hanging="735"/>
      </w:pPr>
      <w:r>
        <w:t>Any incomplete or incorrect submissions may be deemed non-compliant, as a result you may be excluded from further participation in the Procurement process.</w:t>
      </w:r>
    </w:p>
    <w:p w:rsidR="00E027CC" w:rsidRDefault="00346DA8" w:rsidP="00FB781C">
      <w:pPr>
        <w:pStyle w:val="Heading3"/>
        <w:numPr>
          <w:ilvl w:val="2"/>
          <w:numId w:val="3"/>
        </w:numPr>
        <w:ind w:left="1700" w:hanging="735"/>
      </w:pPr>
      <w:r>
        <w:t>Allow plenty of time for the entering of responses into the e-Sourcing Suite – do not leave it until the day of the Tender Submission Deadline.</w:t>
      </w:r>
    </w:p>
    <w:p w:rsidR="00E027CC" w:rsidRDefault="00346DA8" w:rsidP="00FB781C">
      <w:pPr>
        <w:pStyle w:val="Heading2"/>
        <w:numPr>
          <w:ilvl w:val="1"/>
          <w:numId w:val="3"/>
        </w:numPr>
      </w:pPr>
      <w:r>
        <w:rPr>
          <w:sz w:val="22"/>
          <w:szCs w:val="22"/>
        </w:rPr>
        <w:t>For technical guidance on how to complete questions and text fields, and how to upload any requested attachments please see</w:t>
      </w:r>
      <w:r w:rsidRPr="00FB781C">
        <w:rPr>
          <w:sz w:val="22"/>
        </w:rPr>
        <w:t xml:space="preserve"> Attachment 8 </w:t>
      </w:r>
      <w:r>
        <w:rPr>
          <w:sz w:val="22"/>
          <w:szCs w:val="22"/>
        </w:rPr>
        <w:t>– Supplier Guidance.</w:t>
      </w:r>
    </w:p>
    <w:p w:rsidR="00E027CC" w:rsidRDefault="00346DA8" w:rsidP="00FB781C">
      <w:pPr>
        <w:pStyle w:val="Heading2"/>
        <w:numPr>
          <w:ilvl w:val="1"/>
          <w:numId w:val="3"/>
        </w:numPr>
      </w:pPr>
      <w:r>
        <w:rPr>
          <w:b/>
          <w:sz w:val="22"/>
          <w:szCs w:val="22"/>
        </w:rPr>
        <w:t>Additional Materials, Documents and Attachments</w:t>
      </w:r>
    </w:p>
    <w:p w:rsidR="00E027CC" w:rsidRDefault="00346DA8" w:rsidP="00FB781C">
      <w:pPr>
        <w:pStyle w:val="Heading3"/>
        <w:numPr>
          <w:ilvl w:val="2"/>
          <w:numId w:val="3"/>
        </w:numPr>
        <w:pBdr>
          <w:top w:val="nil"/>
          <w:left w:val="nil"/>
          <w:bottom w:val="nil"/>
          <w:right w:val="nil"/>
          <w:between w:val="nil"/>
        </w:pBdr>
        <w:ind w:left="1700" w:hanging="735"/>
      </w:pPr>
      <w:r>
        <w:t>You must adhere to the following instructions;</w:t>
      </w:r>
    </w:p>
    <w:p w:rsidR="00E027CC" w:rsidRDefault="00346DA8" w:rsidP="00FB781C">
      <w:pPr>
        <w:pStyle w:val="Heading3"/>
        <w:numPr>
          <w:ilvl w:val="2"/>
          <w:numId w:val="3"/>
        </w:numPr>
        <w:pBdr>
          <w:top w:val="nil"/>
          <w:left w:val="nil"/>
          <w:bottom w:val="nil"/>
          <w:right w:val="nil"/>
          <w:between w:val="nil"/>
        </w:pBdr>
        <w:ind w:left="1700" w:hanging="735"/>
      </w:pPr>
      <w:r>
        <w:t xml:space="preserve">No additional attachments should be submitted with a Tender unless specifically requested by the Authority. </w:t>
      </w:r>
    </w:p>
    <w:p w:rsidR="00E027CC" w:rsidRDefault="00346DA8" w:rsidP="00FB781C">
      <w:pPr>
        <w:pStyle w:val="Heading3"/>
        <w:numPr>
          <w:ilvl w:val="2"/>
          <w:numId w:val="3"/>
        </w:numPr>
        <w:pBdr>
          <w:top w:val="nil"/>
          <w:left w:val="nil"/>
          <w:bottom w:val="nil"/>
          <w:right w:val="nil"/>
          <w:between w:val="nil"/>
        </w:pBdr>
        <w:ind w:left="1700" w:hanging="735"/>
      </w:pPr>
      <w:r>
        <w:t>Any additional documents requested by the Authority must only be attached at the Question Level (not at Questionnaire Level) in the e-Sourcing Suite using a unique, unambiguous and relevant file name as specified by the Authority in the question. They must be submitted in the format requested by the Authority.</w:t>
      </w:r>
    </w:p>
    <w:p w:rsidR="00E027CC" w:rsidRDefault="00346DA8" w:rsidP="00FB781C">
      <w:pPr>
        <w:pStyle w:val="Heading2"/>
        <w:numPr>
          <w:ilvl w:val="1"/>
          <w:numId w:val="3"/>
        </w:numPr>
      </w:pPr>
      <w:r>
        <w:rPr>
          <w:b/>
          <w:sz w:val="22"/>
          <w:szCs w:val="22"/>
        </w:rPr>
        <w:t>Data Entry</w:t>
      </w:r>
    </w:p>
    <w:p w:rsidR="00E027CC" w:rsidRDefault="00346DA8" w:rsidP="00FB781C">
      <w:pPr>
        <w:pStyle w:val="Heading3"/>
        <w:numPr>
          <w:ilvl w:val="2"/>
          <w:numId w:val="3"/>
        </w:numPr>
        <w:pBdr>
          <w:top w:val="nil"/>
          <w:left w:val="nil"/>
          <w:bottom w:val="nil"/>
          <w:right w:val="nil"/>
          <w:between w:val="nil"/>
        </w:pBdr>
        <w:ind w:left="1700" w:hanging="735"/>
      </w:pPr>
      <w:r>
        <w:t>A fully compliant Tender must adhere to the following instructions;</w:t>
      </w:r>
    </w:p>
    <w:p w:rsidR="00E027CC" w:rsidRDefault="00346DA8" w:rsidP="00FB781C">
      <w:pPr>
        <w:pStyle w:val="Heading4"/>
        <w:numPr>
          <w:ilvl w:val="3"/>
          <w:numId w:val="3"/>
        </w:numPr>
      </w:pPr>
      <w:r>
        <w:t xml:space="preserve">All responses must be inserted into the relevant response fields unless an attachment is additionally permitted. No attachments are permitted except where specifically requested by the Authority. Only information entered into the relevant response fields or information provided as an </w:t>
      </w:r>
      <w:r>
        <w:lastRenderedPageBreak/>
        <w:t>attachment as supplied in accordance with the Authority's instructions will be taken into consideration for the purposes of evaluating a Tender.</w:t>
      </w:r>
    </w:p>
    <w:p w:rsidR="00E027CC" w:rsidRDefault="00346DA8" w:rsidP="00FB781C">
      <w:pPr>
        <w:pStyle w:val="Heading4"/>
        <w:numPr>
          <w:ilvl w:val="3"/>
          <w:numId w:val="3"/>
        </w:numPr>
      </w:pPr>
      <w:r>
        <w:t>The Tender must be submitted in the English (UK) language.</w:t>
      </w:r>
    </w:p>
    <w:p w:rsidR="00E027CC" w:rsidRDefault="00346DA8" w:rsidP="00FB781C">
      <w:pPr>
        <w:pStyle w:val="Heading4"/>
        <w:numPr>
          <w:ilvl w:val="3"/>
          <w:numId w:val="3"/>
        </w:numPr>
      </w:pPr>
      <w:r>
        <w:t>All prices must be shown excluding VAT and in British Pounds Sterling (£).</w:t>
      </w:r>
    </w:p>
    <w:p w:rsidR="00E027CC" w:rsidRDefault="00346DA8" w:rsidP="00FB781C">
      <w:pPr>
        <w:pStyle w:val="Heading4"/>
        <w:numPr>
          <w:ilvl w:val="3"/>
          <w:numId w:val="3"/>
        </w:numPr>
      </w:pPr>
      <w:r>
        <w:t>You must answer all questions accurately and as fully as possible, within the word / character limits specified.</w:t>
      </w:r>
    </w:p>
    <w:p w:rsidR="00E027CC" w:rsidRDefault="00346DA8" w:rsidP="00FB781C">
      <w:pPr>
        <w:pStyle w:val="Heading4"/>
        <w:numPr>
          <w:ilvl w:val="3"/>
          <w:numId w:val="3"/>
        </w:numPr>
      </w:pPr>
      <w:r>
        <w:t>Where options are offered as a response to a question, you must select the relevant option from the drop down list.</w:t>
      </w:r>
    </w:p>
    <w:p w:rsidR="00E027CC" w:rsidRDefault="00346DA8" w:rsidP="00FB781C">
      <w:pPr>
        <w:pStyle w:val="Heading4"/>
        <w:numPr>
          <w:ilvl w:val="3"/>
          <w:numId w:val="3"/>
        </w:numPr>
      </w:pPr>
      <w:r>
        <w:t>You must not answer questions by cross referring to other answers or to other materials (e.g. annual company reports located on a web site). Each question answered must be complete in its own right.</w:t>
      </w:r>
    </w:p>
    <w:p w:rsidR="00E027CC" w:rsidRDefault="00346DA8" w:rsidP="00FB781C">
      <w:pPr>
        <w:pStyle w:val="Heading4"/>
        <w:numPr>
          <w:ilvl w:val="3"/>
          <w:numId w:val="3"/>
        </w:numPr>
      </w:pPr>
      <w:r>
        <w:t>The Authority will disregard any part of a response to a question which exceeds the specified character limit (i.e. the excess will be disregarded, not the whole response). The stated character limit includes spaces and punctuation.</w:t>
      </w:r>
    </w:p>
    <w:p w:rsidR="00E027CC" w:rsidRDefault="00346DA8" w:rsidP="00FB781C">
      <w:pPr>
        <w:pStyle w:val="Heading2"/>
        <w:numPr>
          <w:ilvl w:val="1"/>
          <w:numId w:val="3"/>
        </w:numPr>
      </w:pPr>
      <w:r>
        <w:rPr>
          <w:b/>
          <w:sz w:val="22"/>
          <w:szCs w:val="22"/>
        </w:rPr>
        <w:t>Deadline for the submission of Tenders</w:t>
      </w:r>
    </w:p>
    <w:p w:rsidR="00E027CC" w:rsidRDefault="00346DA8" w:rsidP="00FB781C">
      <w:pPr>
        <w:pStyle w:val="Heading3"/>
        <w:numPr>
          <w:ilvl w:val="2"/>
          <w:numId w:val="3"/>
        </w:numPr>
        <w:ind w:left="1700" w:hanging="735"/>
      </w:pPr>
      <w:r>
        <w:t xml:space="preserve">All Tenders must be received by the Authority before the Tender Submission Deadline (see the Procurement Timetable in paragraph 4 for details). </w:t>
      </w:r>
    </w:p>
    <w:p w:rsidR="00E027CC" w:rsidRDefault="00346DA8" w:rsidP="00FB781C">
      <w:pPr>
        <w:pStyle w:val="Heading2"/>
        <w:numPr>
          <w:ilvl w:val="1"/>
          <w:numId w:val="3"/>
        </w:numPr>
      </w:pPr>
      <w:r>
        <w:rPr>
          <w:b/>
          <w:sz w:val="22"/>
          <w:szCs w:val="22"/>
        </w:rPr>
        <w:t>Late Tenders</w:t>
      </w:r>
    </w:p>
    <w:p w:rsidR="00E027CC" w:rsidRDefault="00346DA8" w:rsidP="00FB781C">
      <w:pPr>
        <w:pStyle w:val="Heading3"/>
        <w:numPr>
          <w:ilvl w:val="2"/>
          <w:numId w:val="3"/>
        </w:numPr>
        <w:ind w:left="1700" w:hanging="735"/>
      </w:pPr>
      <w:r>
        <w:t>Tenders received on or after the Tender Submission Deadline may be rejected by the Authority to ensure all Potential Providers are treated fairly. The decision whether to reject a Tender received after the Tender Submission Deadline is entirely at the Authorities discretion.</w:t>
      </w:r>
    </w:p>
    <w:p w:rsidR="00E027CC" w:rsidRDefault="00346DA8" w:rsidP="00FB781C">
      <w:pPr>
        <w:pStyle w:val="Heading2"/>
        <w:numPr>
          <w:ilvl w:val="1"/>
          <w:numId w:val="3"/>
        </w:numPr>
      </w:pPr>
      <w:r>
        <w:rPr>
          <w:b/>
          <w:sz w:val="22"/>
          <w:szCs w:val="22"/>
        </w:rPr>
        <w:t>Uploading and submitting a Tender</w:t>
      </w:r>
    </w:p>
    <w:p w:rsidR="00E027CC" w:rsidRDefault="00346DA8" w:rsidP="00FB781C">
      <w:pPr>
        <w:pStyle w:val="Heading3"/>
        <w:numPr>
          <w:ilvl w:val="2"/>
          <w:numId w:val="3"/>
        </w:numPr>
        <w:ind w:left="1700" w:hanging="735"/>
      </w:pPr>
      <w:r>
        <w:t>You are responsible for ensuring that your Tender has been successfully completed in the e-Sourcing Suite prior to the Tender Submission Deadline.</w:t>
      </w:r>
    </w:p>
    <w:p w:rsidR="00E027CC" w:rsidRDefault="00346DA8" w:rsidP="00FB781C">
      <w:pPr>
        <w:pStyle w:val="Heading3"/>
        <w:numPr>
          <w:ilvl w:val="2"/>
          <w:numId w:val="3"/>
        </w:numPr>
        <w:ind w:left="1700" w:hanging="735"/>
      </w:pPr>
      <w:r>
        <w:t>All Tenders must be submitted to the Authority using the e-Sourcing Suite. Tenders submitted by any other means will not</w:t>
      </w:r>
      <w:r>
        <w:rPr>
          <w:b/>
        </w:rPr>
        <w:t xml:space="preserve"> </w:t>
      </w:r>
      <w:r>
        <w:t>be accepted.</w:t>
      </w:r>
    </w:p>
    <w:p w:rsidR="00E027CC" w:rsidRDefault="00346DA8" w:rsidP="00FB781C">
      <w:pPr>
        <w:pStyle w:val="Heading3"/>
        <w:numPr>
          <w:ilvl w:val="2"/>
          <w:numId w:val="3"/>
        </w:numPr>
        <w:ind w:left="1700" w:hanging="735"/>
      </w:pPr>
      <w:r>
        <w:t xml:space="preserve">Elements of a Tender may be submitted or attached as required at any time before the Tender Submission Deadline using the e-Sourcing Suite. See </w:t>
      </w:r>
      <w:r w:rsidRPr="00FB781C">
        <w:t xml:space="preserve">Attachment 8 </w:t>
      </w:r>
      <w:r>
        <w:t xml:space="preserve">for details of how to formally submit the Tender. </w:t>
      </w:r>
    </w:p>
    <w:p w:rsidR="00E027CC" w:rsidRDefault="00346DA8" w:rsidP="00FB781C">
      <w:pPr>
        <w:pStyle w:val="Heading3"/>
        <w:numPr>
          <w:ilvl w:val="2"/>
          <w:numId w:val="3"/>
        </w:numPr>
        <w:ind w:left="1700" w:hanging="735"/>
      </w:pPr>
      <w:r>
        <w:t>You may modify and resubmit your Tender at any time prior to the Tender Submission Deadline. Before the Tender Submission Deadline, you must satisfy yourself that you have submitted all responses and attached any requested attachments, through the e-Sourcing Suite. You cannot modify your Tender after the Tender Submission Deadline.</w:t>
      </w:r>
    </w:p>
    <w:p w:rsidR="00E027CC" w:rsidRDefault="00346DA8" w:rsidP="00FB781C">
      <w:pPr>
        <w:pStyle w:val="Heading3"/>
        <w:numPr>
          <w:ilvl w:val="2"/>
          <w:numId w:val="3"/>
        </w:numPr>
        <w:ind w:left="1700" w:hanging="735"/>
      </w:pPr>
      <w:r>
        <w:t xml:space="preserve">You may withdraw from this Procurement by choosing not to submit a Tender by the Tender Submission Deadline. </w:t>
      </w:r>
    </w:p>
    <w:p w:rsidR="00E027CC" w:rsidRDefault="00346DA8" w:rsidP="00FB781C">
      <w:pPr>
        <w:pStyle w:val="Heading3"/>
        <w:numPr>
          <w:ilvl w:val="2"/>
          <w:numId w:val="3"/>
        </w:numPr>
        <w:ind w:left="1700" w:hanging="735"/>
      </w:pPr>
      <w:r>
        <w:t>Your Tender must remain valid and capable of acceptance by the Authority for a period of 180 days following the Tender Submission Deadline. An attempt to submit a Tender with a shorter validity period may lead to the exclusion of your Tender.</w:t>
      </w:r>
    </w:p>
    <w:p w:rsidR="00E027CC" w:rsidRDefault="00346DA8" w:rsidP="00FB781C">
      <w:pPr>
        <w:pStyle w:val="Heading2"/>
        <w:numPr>
          <w:ilvl w:val="1"/>
          <w:numId w:val="3"/>
        </w:numPr>
      </w:pPr>
      <w:r>
        <w:rPr>
          <w:b/>
          <w:sz w:val="22"/>
          <w:szCs w:val="22"/>
        </w:rPr>
        <w:t>Confidentiality</w:t>
      </w:r>
    </w:p>
    <w:p w:rsidR="00E027CC" w:rsidRDefault="00346DA8" w:rsidP="00FB781C">
      <w:pPr>
        <w:pStyle w:val="Heading3"/>
        <w:numPr>
          <w:ilvl w:val="2"/>
          <w:numId w:val="3"/>
        </w:numPr>
        <w:ind w:left="1700" w:hanging="735"/>
      </w:pPr>
      <w:r>
        <w:lastRenderedPageBreak/>
        <w:t xml:space="preserve">Potential Providers must not collude with nor disclose the fact of their intention to submit a tender to other Potential Providers. </w:t>
      </w:r>
    </w:p>
    <w:p w:rsidR="00E027CC" w:rsidRDefault="00346DA8" w:rsidP="00FB781C">
      <w:pPr>
        <w:pStyle w:val="Heading3"/>
        <w:numPr>
          <w:ilvl w:val="2"/>
          <w:numId w:val="3"/>
        </w:numPr>
        <w:ind w:left="1700" w:hanging="735"/>
      </w:pPr>
      <w:r>
        <w:t>The Authority may disclose information provided by a Potential Provider where there is a requirement to do so in accordance with Regulation 21 (2).</w:t>
      </w:r>
    </w:p>
    <w:p w:rsidR="00E027CC" w:rsidRDefault="00346DA8">
      <w:pPr>
        <w:pStyle w:val="Heading3"/>
      </w:pPr>
      <w:bookmarkStart w:id="9" w:name="_3rdcrjn" w:colFirst="0" w:colLast="0"/>
      <w:bookmarkEnd w:id="9"/>
      <w:r>
        <w:br w:type="page"/>
      </w:r>
    </w:p>
    <w:p w:rsidR="00E027CC" w:rsidRDefault="00346DA8" w:rsidP="00FB781C">
      <w:pPr>
        <w:pStyle w:val="Heading1"/>
        <w:numPr>
          <w:ilvl w:val="0"/>
          <w:numId w:val="3"/>
        </w:numPr>
        <w:rPr>
          <w:sz w:val="22"/>
          <w:szCs w:val="22"/>
        </w:rPr>
      </w:pPr>
      <w:bookmarkStart w:id="10" w:name="_26in1rg" w:colFirst="0" w:colLast="0"/>
      <w:bookmarkEnd w:id="10"/>
      <w:r>
        <w:rPr>
          <w:sz w:val="22"/>
          <w:szCs w:val="22"/>
        </w:rPr>
        <w:lastRenderedPageBreak/>
        <w:t>CONTRACTING ARRANGEMENTS (SUBCONTRACTORS AND GROUPS OF ECONOMIC OPERATORS (CONSORTIA))</w:t>
      </w:r>
    </w:p>
    <w:p w:rsidR="00E027CC" w:rsidRDefault="00346DA8" w:rsidP="00FB781C">
      <w:pPr>
        <w:pStyle w:val="Heading2"/>
        <w:numPr>
          <w:ilvl w:val="1"/>
          <w:numId w:val="3"/>
        </w:numPr>
      </w:pPr>
      <w:r>
        <w:rPr>
          <w:sz w:val="22"/>
          <w:szCs w:val="22"/>
        </w:rPr>
        <w:t>It is important that your Tender conveys a complete and accurate picture of how the Authority’s minimum requirements for legal, economic, technical and professional capacity, as set out in the Selection Questionnaire (Attachment 2), will be satisfied. The Authority needs clarity on how bids are structured in terms of organisations contributing to them.</w:t>
      </w:r>
    </w:p>
    <w:p w:rsidR="00E027CC" w:rsidRDefault="00346DA8" w:rsidP="00FB781C">
      <w:pPr>
        <w:pStyle w:val="Heading2"/>
        <w:numPr>
          <w:ilvl w:val="1"/>
          <w:numId w:val="3"/>
        </w:numPr>
      </w:pPr>
      <w:bookmarkStart w:id="11" w:name="_lnxbz9" w:colFirst="0" w:colLast="0"/>
      <w:bookmarkEnd w:id="11"/>
      <w:r>
        <w:rPr>
          <w:sz w:val="22"/>
          <w:szCs w:val="22"/>
        </w:rPr>
        <w:t>The Authority is happy to receive and welcomes Tenders from economic operators collaborating as a Group of Economic Operators (or Consortium) or sub-contracting elements of their obligations.  Where one of these approaches is adopted the remaining provisions of this paragraph must be followed.</w:t>
      </w:r>
    </w:p>
    <w:p w:rsidR="00E027CC" w:rsidRDefault="00346DA8" w:rsidP="00FB781C">
      <w:pPr>
        <w:pStyle w:val="Heading2"/>
        <w:numPr>
          <w:ilvl w:val="1"/>
          <w:numId w:val="3"/>
        </w:numPr>
      </w:pPr>
      <w:bookmarkStart w:id="12" w:name="_35nkun2" w:colFirst="0" w:colLast="0"/>
      <w:bookmarkEnd w:id="12"/>
      <w:r>
        <w:rPr>
          <w:sz w:val="22"/>
          <w:szCs w:val="22"/>
        </w:rPr>
        <w:t>The Tender must be completed in the name and ‘voice’ of the economic operator (as defined in the Regulations) or, in the case of a Group of Economic Operators, the economic operators-members that, if awarded, will ultimately enter into a Framework Agreement with the Authority and therefore assume liability for performance of the Framework Agreement (the “</w:t>
      </w:r>
      <w:r>
        <w:rPr>
          <w:b/>
          <w:sz w:val="22"/>
          <w:szCs w:val="22"/>
        </w:rPr>
        <w:t>Potential Provider</w:t>
      </w:r>
      <w:r>
        <w:rPr>
          <w:sz w:val="22"/>
          <w:szCs w:val="22"/>
        </w:rPr>
        <w:t>”), subject to paragraph</w:t>
      </w:r>
      <w:r w:rsidRPr="00FB781C">
        <w:rPr>
          <w:sz w:val="22"/>
        </w:rPr>
        <w:t xml:space="preserve"> 6.6 </w:t>
      </w:r>
      <w:r>
        <w:rPr>
          <w:sz w:val="22"/>
          <w:szCs w:val="22"/>
        </w:rPr>
        <w:t>below.</w:t>
      </w:r>
    </w:p>
    <w:p w:rsidR="00E027CC" w:rsidRDefault="00346DA8" w:rsidP="00FB781C">
      <w:pPr>
        <w:pStyle w:val="Heading2"/>
        <w:numPr>
          <w:ilvl w:val="1"/>
          <w:numId w:val="3"/>
        </w:numPr>
      </w:pPr>
      <w:bookmarkStart w:id="13" w:name="_1ksv4uv" w:colFirst="0" w:colLast="0"/>
      <w:bookmarkEnd w:id="13"/>
      <w:r>
        <w:rPr>
          <w:sz w:val="22"/>
          <w:szCs w:val="22"/>
        </w:rPr>
        <w:t xml:space="preserve">With the exception of Sub-Contractors identified in the Tender (and subject to paragraph </w:t>
      </w:r>
      <w:r w:rsidRPr="00FB781C">
        <w:rPr>
          <w:sz w:val="22"/>
        </w:rPr>
        <w:t>6.8</w:t>
      </w:r>
      <w:r>
        <w:rPr>
          <w:sz w:val="22"/>
          <w:szCs w:val="22"/>
        </w:rPr>
        <w:t>), no organisation other than the Potential Provider will be able to provide Goods and Services through the Framework Agreement, whether, for example, a group company, subsidiary, parent company, holding company, associated company, franchise or fellow franchisee, strategic partner or organisation in any other relationship with the Potential Provider whatsoever. For the avoidance of doubt, the use of any kind of group companies associated with the Potential Provider can be only as Sub-Contractors identified in the Tender.</w:t>
      </w:r>
    </w:p>
    <w:p w:rsidR="00E027CC" w:rsidRDefault="00346DA8" w:rsidP="00FB781C">
      <w:pPr>
        <w:pStyle w:val="Heading2"/>
        <w:numPr>
          <w:ilvl w:val="1"/>
          <w:numId w:val="3"/>
        </w:numPr>
      </w:pPr>
      <w:bookmarkStart w:id="14" w:name="_44sinio" w:colFirst="0" w:colLast="0"/>
      <w:bookmarkEnd w:id="14"/>
      <w:r>
        <w:rPr>
          <w:b/>
          <w:sz w:val="22"/>
          <w:szCs w:val="22"/>
        </w:rPr>
        <w:t>Sub-contracting proposals:</w:t>
      </w:r>
    </w:p>
    <w:p w:rsidR="00E027CC" w:rsidRDefault="00346DA8" w:rsidP="00FB781C">
      <w:pPr>
        <w:pStyle w:val="Heading3"/>
        <w:numPr>
          <w:ilvl w:val="2"/>
          <w:numId w:val="3"/>
        </w:numPr>
        <w:ind w:left="1700" w:hanging="735"/>
      </w:pPr>
      <w:r>
        <w:t>You need to complete question 1.11.1 in the Selection Questionnaire if you propose to use one or more Sub-Contractors.</w:t>
      </w:r>
    </w:p>
    <w:p w:rsidR="00E027CC" w:rsidRDefault="00346DA8" w:rsidP="00FB781C">
      <w:pPr>
        <w:pStyle w:val="Heading3"/>
        <w:numPr>
          <w:ilvl w:val="2"/>
          <w:numId w:val="3"/>
        </w:numPr>
        <w:ind w:left="1700" w:hanging="735"/>
      </w:pPr>
      <w:r>
        <w:t xml:space="preserve">The Authority does not require all Sub-Contractors to be disclosed. You need only disclose those sub-contractors who directly contribute to your ability to meet your obligations under the Framework Agreement (including under any Call-Off Contract). There is no need to specify sub-contractors supplying general services to you (such as window cleaners etc.) that only indirectly enable you to perform the Framework Agreement. Please read the definition of Sub-Contractor in paragraph </w:t>
      </w:r>
      <w:r w:rsidRPr="00FB781C">
        <w:t>15</w:t>
      </w:r>
      <w:r>
        <w:t>.</w:t>
      </w:r>
    </w:p>
    <w:p w:rsidR="00E027CC" w:rsidRDefault="00346DA8" w:rsidP="00FB781C">
      <w:pPr>
        <w:pStyle w:val="Heading3"/>
        <w:numPr>
          <w:ilvl w:val="2"/>
          <w:numId w:val="3"/>
        </w:numPr>
        <w:ind w:left="1700" w:hanging="735"/>
      </w:pPr>
      <w:r>
        <w:t>If you need to rely on the capability and/or experience of one or more Sub-Contractors in your Tender to demonstrate your ability to provide the Goods and Services in accordance with the requirements of the question and the Framework Agreement you must inform the Authority in your Tender.</w:t>
      </w:r>
    </w:p>
    <w:p w:rsidR="00E027CC" w:rsidRDefault="00346DA8" w:rsidP="00FB781C">
      <w:pPr>
        <w:pStyle w:val="Heading3"/>
        <w:numPr>
          <w:ilvl w:val="2"/>
          <w:numId w:val="3"/>
        </w:numPr>
        <w:ind w:left="1700" w:hanging="735"/>
      </w:pPr>
      <w:r>
        <w:t>Your Tender must clearly identify when it is relying on a Sub-Contractor in its response to a question, giving the name of the Sub-Contractor and explaining the Sub-Contractor’s role, capability and experience as the context of the question requires.</w:t>
      </w:r>
    </w:p>
    <w:p w:rsidR="00E027CC" w:rsidRDefault="00346DA8" w:rsidP="00FB781C">
      <w:pPr>
        <w:pStyle w:val="Heading3"/>
        <w:numPr>
          <w:ilvl w:val="2"/>
          <w:numId w:val="3"/>
        </w:numPr>
        <w:ind w:left="1700" w:hanging="735"/>
      </w:pPr>
      <w:r>
        <w:t xml:space="preserve">The Supplier shall be responsible for the delivery of all the Goods and Services required under this Framework Agreement. Whilst the use of approved third parties/Sub-Contractors is permitted, the Supplier shall manage, control and maintain all Contracting Authority facing activities.  </w:t>
      </w:r>
    </w:p>
    <w:p w:rsidR="00E027CC" w:rsidRDefault="00346DA8" w:rsidP="00FB781C">
      <w:pPr>
        <w:pStyle w:val="Heading2"/>
        <w:numPr>
          <w:ilvl w:val="1"/>
          <w:numId w:val="3"/>
        </w:numPr>
      </w:pPr>
      <w:bookmarkStart w:id="15" w:name="_2jxsxqh" w:colFirst="0" w:colLast="0"/>
      <w:bookmarkEnd w:id="15"/>
      <w:r>
        <w:rPr>
          <w:b/>
          <w:sz w:val="22"/>
          <w:szCs w:val="22"/>
        </w:rPr>
        <w:t>Group of Economic Operator (Consortia) proposals:</w:t>
      </w:r>
    </w:p>
    <w:p w:rsidR="00E027CC" w:rsidRDefault="00346DA8" w:rsidP="00FB781C">
      <w:pPr>
        <w:pStyle w:val="Heading3"/>
        <w:numPr>
          <w:ilvl w:val="2"/>
          <w:numId w:val="3"/>
        </w:numPr>
        <w:ind w:left="1700" w:hanging="735"/>
      </w:pPr>
      <w:r>
        <w:lastRenderedPageBreak/>
        <w:t xml:space="preserve">If a Group of Economic Operators (or Consortia) wish to act jointly to provide the Goods and Services they may do so with all parties signing the resultant Framework Agreement and assuming joint and several responsibility for performance of the Framework Agreement including any Call-Off Contract.  </w:t>
      </w:r>
    </w:p>
    <w:p w:rsidR="00E027CC" w:rsidRDefault="00346DA8" w:rsidP="00FB781C">
      <w:pPr>
        <w:pStyle w:val="Heading3"/>
        <w:numPr>
          <w:ilvl w:val="2"/>
          <w:numId w:val="3"/>
        </w:numPr>
        <w:ind w:left="1700" w:hanging="735"/>
      </w:pPr>
      <w:r>
        <w:t>Please note that, in accordance with Regulation 19 (6), the Authority may require the Group of Economic Operators to assume a specific legal form for the purpose of concluding the Framework Agreement. In this case, the Authority is also likely to require the members of the Group of Economic Operators to nominate a Framework Guarantor for the single legal entity’s performance of the Framework Agreement.</w:t>
      </w:r>
    </w:p>
    <w:p w:rsidR="00E027CC" w:rsidRDefault="00346DA8" w:rsidP="00FB781C">
      <w:pPr>
        <w:pStyle w:val="Heading3"/>
        <w:numPr>
          <w:ilvl w:val="2"/>
          <w:numId w:val="3"/>
        </w:numPr>
        <w:ind w:left="1700" w:hanging="735"/>
      </w:pPr>
      <w:r>
        <w:t>The Group of Economic Operators should nominate a Lead Contact to lead the bidding process. If the Group of Economic Operators plans to collaborate on a joint and several basis, then the Group of Economic Operators should nominate a Lead Contact to complete the Tender on behalf of all the other members of the Group of Economic Operators.</w:t>
      </w:r>
    </w:p>
    <w:p w:rsidR="00E027CC" w:rsidRDefault="00346DA8" w:rsidP="00FB781C">
      <w:pPr>
        <w:pStyle w:val="Heading3"/>
        <w:numPr>
          <w:ilvl w:val="2"/>
          <w:numId w:val="3"/>
        </w:numPr>
        <w:ind w:left="1700" w:hanging="735"/>
      </w:pPr>
      <w:r>
        <w:t>The Lead Contact should follow the instructions in the Selection Questionnaire to provide details of the members of the proposed Group of Economic Operators who will be jointly and severally responsible for the entire contract requirements, including the percentage of contractual obligations assigned to each member of the Group of Economic Operators.</w:t>
      </w:r>
    </w:p>
    <w:p w:rsidR="00E027CC" w:rsidRDefault="00346DA8" w:rsidP="00FB781C">
      <w:pPr>
        <w:pStyle w:val="Heading3"/>
        <w:numPr>
          <w:ilvl w:val="2"/>
          <w:numId w:val="3"/>
        </w:numPr>
        <w:ind w:left="1700" w:hanging="735"/>
      </w:pPr>
      <w:r>
        <w:t>Where the Lead Contact relies on the capability and/or experience of one or more members of the Group of Economic Operators to demonstrate the Group of Economic Operators’ ability to provide the Goods and Services in accordance with the requirements of the ITT and the Framework Agreement, it must inform the Authority in its Tender.</w:t>
      </w:r>
    </w:p>
    <w:p w:rsidR="00E027CC" w:rsidRDefault="00346DA8" w:rsidP="00FB781C">
      <w:pPr>
        <w:pStyle w:val="Heading3"/>
        <w:numPr>
          <w:ilvl w:val="2"/>
          <w:numId w:val="3"/>
        </w:numPr>
        <w:ind w:left="1700" w:hanging="735"/>
      </w:pPr>
      <w:r>
        <w:t>More specifically, the Tender submitted by the Lead Contact must clearly identify in response to any question, when it is relying on another member of the Group of Economic Operators, the name of the particular member and explain the member’s role, capability and experience as the context of the question requires.</w:t>
      </w:r>
    </w:p>
    <w:p w:rsidR="00E027CC" w:rsidRDefault="00346DA8" w:rsidP="00FB781C">
      <w:pPr>
        <w:pStyle w:val="Heading2"/>
        <w:numPr>
          <w:ilvl w:val="1"/>
          <w:numId w:val="3"/>
        </w:numPr>
      </w:pPr>
      <w:r>
        <w:rPr>
          <w:b/>
          <w:sz w:val="22"/>
          <w:szCs w:val="22"/>
        </w:rPr>
        <w:t xml:space="preserve">Queries </w:t>
      </w:r>
    </w:p>
    <w:p w:rsidR="00E027CC" w:rsidRDefault="00346DA8" w:rsidP="00FB781C">
      <w:pPr>
        <w:pStyle w:val="Heading3"/>
        <w:numPr>
          <w:ilvl w:val="2"/>
          <w:numId w:val="3"/>
        </w:numPr>
        <w:ind w:left="1700" w:hanging="735"/>
      </w:pPr>
      <w:r>
        <w:t>It is difficult for these instructions to deal with all potential Group of Economic Operators and sub-contracting scenarios.  If you are unsure how to classify and communicate your contracting arrangements in your Tender, then you should contact the Authority at the earliest opportunity in accordance with paragrap</w:t>
      </w:r>
      <w:r w:rsidRPr="00FB781C">
        <w:t>h 7.</w:t>
      </w:r>
    </w:p>
    <w:p w:rsidR="00E027CC" w:rsidRDefault="00346DA8" w:rsidP="00FB781C">
      <w:pPr>
        <w:pStyle w:val="Heading2"/>
        <w:numPr>
          <w:ilvl w:val="1"/>
          <w:numId w:val="3"/>
        </w:numPr>
      </w:pPr>
      <w:bookmarkStart w:id="16" w:name="_z337ya" w:colFirst="0" w:colLast="0"/>
      <w:bookmarkEnd w:id="16"/>
      <w:r>
        <w:rPr>
          <w:b/>
          <w:sz w:val="22"/>
          <w:szCs w:val="22"/>
        </w:rPr>
        <w:t>Changes to the contracting arrangements</w:t>
      </w:r>
    </w:p>
    <w:p w:rsidR="00E027CC" w:rsidRDefault="00346DA8" w:rsidP="00FB781C">
      <w:pPr>
        <w:pStyle w:val="Heading3"/>
        <w:numPr>
          <w:ilvl w:val="2"/>
          <w:numId w:val="3"/>
        </w:numPr>
        <w:ind w:left="1700" w:hanging="735"/>
      </w:pPr>
      <w:bookmarkStart w:id="17" w:name="_3j2qqm3" w:colFirst="0" w:colLast="0"/>
      <w:bookmarkEnd w:id="17"/>
      <w:r>
        <w:t>The Authority recognises that arrangements in relation to sub-contracting and Groups of Economic Operators may be subject to future change, and may not be finalised until a later date.  However, any changes to those arrangements may affect your ability to deliver the requirements. You must tell us about any changes to the proposed sub-contracting or to the Group of Economic Operators. The Authority will assess the new information provided and reserves the right to exclude the Potential Provider prior to any award of contract.</w:t>
      </w:r>
    </w:p>
    <w:p w:rsidR="00E027CC" w:rsidRDefault="00346DA8" w:rsidP="00FB781C">
      <w:pPr>
        <w:pStyle w:val="Heading3"/>
        <w:numPr>
          <w:ilvl w:val="2"/>
          <w:numId w:val="3"/>
        </w:numPr>
        <w:ind w:left="1700" w:hanging="735"/>
      </w:pPr>
      <w:r>
        <w:t xml:space="preserve">If you are awarded a Framework Agreement, any changes to arrangements in relation to sub-contracting and Group of Economic Operators arrangements which are made following the award will be dealt with in accordance with </w:t>
      </w:r>
      <w:r w:rsidRPr="00FB781C">
        <w:t>clause 25 o</w:t>
      </w:r>
      <w:r>
        <w:t>f the Framework Agreement (Attachment 4).</w:t>
      </w:r>
    </w:p>
    <w:p w:rsidR="00E027CC" w:rsidRDefault="00346DA8" w:rsidP="00FB781C">
      <w:pPr>
        <w:pStyle w:val="Heading2"/>
        <w:numPr>
          <w:ilvl w:val="1"/>
          <w:numId w:val="3"/>
        </w:numPr>
      </w:pPr>
      <w:r>
        <w:rPr>
          <w:b/>
          <w:sz w:val="22"/>
          <w:szCs w:val="22"/>
        </w:rPr>
        <w:lastRenderedPageBreak/>
        <w:t>Declaration of Compliance</w:t>
      </w:r>
    </w:p>
    <w:p w:rsidR="00E027CC" w:rsidRDefault="00346DA8" w:rsidP="00FB781C">
      <w:pPr>
        <w:pStyle w:val="Heading3"/>
        <w:numPr>
          <w:ilvl w:val="2"/>
          <w:numId w:val="3"/>
        </w:numPr>
        <w:ind w:left="1700" w:hanging="735"/>
      </w:pPr>
      <w:r>
        <w:t>The Authority requires you as either the Potential Provider or Lead Contact to confirm that each Sub-Contractor and/or member of the Group of Economic Operators named in the Tender has read, understood and complied with the statements contained within the Declaration of Compliance (A</w:t>
      </w:r>
      <w:r w:rsidRPr="00FB781C">
        <w:t xml:space="preserve">ttachment </w:t>
      </w:r>
      <w:r>
        <w:t>6b</w:t>
      </w:r>
      <w:r w:rsidRPr="00FB781C">
        <w:t>)</w:t>
      </w:r>
      <w:r>
        <w:t xml:space="preserve">. You do this in the online ‘Participation Requirements’ section. If you do not answer Yes to this confirmation you will be excluded from this Procurement.   This provides the Authority with assurance that statements made by or in relation to the Sub-Contractors and/or members of the Group of Economic Operators are accurate and that they have participated in this Procurement in accordance with the ITT and the Terms of Participation </w:t>
      </w:r>
      <w:r w:rsidRPr="00FB781C">
        <w:t xml:space="preserve">(Attachment </w:t>
      </w:r>
      <w:r>
        <w:t>6a</w:t>
      </w:r>
      <w:r w:rsidRPr="00FB781C">
        <w:t>)</w:t>
      </w:r>
      <w:r>
        <w:t>.</w:t>
      </w:r>
    </w:p>
    <w:p w:rsidR="00E027CC" w:rsidRDefault="00346DA8">
      <w:pPr>
        <w:rPr>
          <w:rFonts w:ascii="Arial" w:eastAsia="Arial" w:hAnsi="Arial" w:cs="Arial"/>
          <w:b/>
          <w:smallCaps/>
          <w:sz w:val="20"/>
          <w:szCs w:val="20"/>
        </w:rPr>
      </w:pPr>
      <w:bookmarkStart w:id="18" w:name="_1y810tw" w:colFirst="0" w:colLast="0"/>
      <w:bookmarkEnd w:id="18"/>
      <w:r>
        <w:br w:type="page"/>
      </w:r>
    </w:p>
    <w:p w:rsidR="00E027CC" w:rsidRDefault="00346DA8" w:rsidP="00FB781C">
      <w:pPr>
        <w:pStyle w:val="Heading1"/>
        <w:numPr>
          <w:ilvl w:val="0"/>
          <w:numId w:val="3"/>
        </w:numPr>
        <w:rPr>
          <w:sz w:val="22"/>
          <w:szCs w:val="22"/>
        </w:rPr>
      </w:pPr>
      <w:bookmarkStart w:id="19" w:name="_4i7ojhp" w:colFirst="0" w:colLast="0"/>
      <w:bookmarkEnd w:id="19"/>
      <w:r>
        <w:rPr>
          <w:sz w:val="22"/>
          <w:szCs w:val="22"/>
        </w:rPr>
        <w:lastRenderedPageBreak/>
        <w:t>QUESTIONS AND CLARIFICATIONS</w:t>
      </w:r>
    </w:p>
    <w:p w:rsidR="00E027CC" w:rsidRDefault="00346DA8" w:rsidP="00FB781C">
      <w:pPr>
        <w:pStyle w:val="Heading2"/>
        <w:numPr>
          <w:ilvl w:val="1"/>
          <w:numId w:val="3"/>
        </w:numPr>
      </w:pPr>
      <w:r>
        <w:rPr>
          <w:sz w:val="22"/>
          <w:szCs w:val="22"/>
        </w:rPr>
        <w:t xml:space="preserve">You may raise questions or seek clarification regarding any aspect of this Procurement at any time prior to the Tender Clarifications Deadline (see the Procurement Timetable in set out paragraph 4). Questions must be submitted using the messaging facility provided within the e-Sourcing Suite. </w:t>
      </w:r>
    </w:p>
    <w:p w:rsidR="00E027CC" w:rsidRDefault="00346DA8" w:rsidP="00FB781C">
      <w:pPr>
        <w:pStyle w:val="Heading2"/>
        <w:numPr>
          <w:ilvl w:val="1"/>
          <w:numId w:val="3"/>
        </w:numPr>
      </w:pPr>
      <w:r>
        <w:rPr>
          <w:sz w:val="22"/>
          <w:szCs w:val="22"/>
        </w:rPr>
        <w:t xml:space="preserve">To ensure that all Potential Providers have equal access to information regarding this Procurement, the Authority will publish all its responses to questions asked and or clarifications raised by you in the “Attachments” section of the e-Sourcing Suite. </w:t>
      </w:r>
    </w:p>
    <w:p w:rsidR="00E027CC" w:rsidRDefault="00346DA8" w:rsidP="00FB781C">
      <w:pPr>
        <w:pStyle w:val="Heading2"/>
        <w:numPr>
          <w:ilvl w:val="1"/>
          <w:numId w:val="3"/>
        </w:numPr>
      </w:pPr>
      <w:r>
        <w:rPr>
          <w:sz w:val="22"/>
          <w:szCs w:val="22"/>
        </w:rPr>
        <w:t xml:space="preserve">If you ask any questions and/or raise clarifications please do not refer to your identity in the body of the question. </w:t>
      </w:r>
    </w:p>
    <w:p w:rsidR="00E027CC" w:rsidRDefault="00346DA8" w:rsidP="00FB781C">
      <w:pPr>
        <w:pStyle w:val="Heading2"/>
        <w:numPr>
          <w:ilvl w:val="1"/>
          <w:numId w:val="3"/>
        </w:numPr>
      </w:pPr>
      <w:r>
        <w:rPr>
          <w:sz w:val="22"/>
          <w:szCs w:val="22"/>
        </w:rPr>
        <w:t xml:space="preserve">Questions asked and/or clarifications raised may be responded to in batches by the Authority, rather than one at a time. </w:t>
      </w:r>
    </w:p>
    <w:p w:rsidR="00E027CC" w:rsidRDefault="00346DA8" w:rsidP="00FB781C">
      <w:pPr>
        <w:pStyle w:val="Heading2"/>
        <w:numPr>
          <w:ilvl w:val="1"/>
          <w:numId w:val="3"/>
        </w:numPr>
      </w:pPr>
      <w:r>
        <w:rPr>
          <w:sz w:val="22"/>
          <w:szCs w:val="22"/>
        </w:rPr>
        <w:t xml:space="preserve">If you wish to ask a question or seek clarification in confidence you must notify the Authority and provide your justification for withholding the question and any response. If the Authority does not consider that there is sufficient justification for withholding the question and the corresponding response, the Authority will inform you and you will have an opportunity to withdraw the question or clarification.  If the question and or clarification is not withdrawn, then the response will be issued to all Potential Providers.   </w:t>
      </w:r>
    </w:p>
    <w:p w:rsidR="00E027CC" w:rsidRDefault="00346DA8" w:rsidP="00FB781C">
      <w:pPr>
        <w:pStyle w:val="Heading2"/>
        <w:numPr>
          <w:ilvl w:val="1"/>
          <w:numId w:val="3"/>
        </w:numPr>
      </w:pPr>
      <w:r>
        <w:rPr>
          <w:sz w:val="22"/>
          <w:szCs w:val="22"/>
        </w:rPr>
        <w:t xml:space="preserve">You are responsible for monitoring the </w:t>
      </w:r>
      <w:proofErr w:type="spellStart"/>
      <w:r>
        <w:rPr>
          <w:sz w:val="22"/>
          <w:szCs w:val="22"/>
        </w:rPr>
        <w:t>eSourcing</w:t>
      </w:r>
      <w:proofErr w:type="spellEnd"/>
      <w:r>
        <w:rPr>
          <w:sz w:val="22"/>
          <w:szCs w:val="22"/>
        </w:rPr>
        <w:t xml:space="preserve"> Suite and the ‘Questions and Answers’ document in particular, for any responses to questions, general clarifications or other information issued by the Authority. Answers to such questions may contain important information that could affect how you complete your Tender. </w:t>
      </w:r>
    </w:p>
    <w:p w:rsidR="00E027CC" w:rsidRDefault="00346DA8" w:rsidP="00FB781C">
      <w:pPr>
        <w:pStyle w:val="Heading2"/>
        <w:numPr>
          <w:ilvl w:val="1"/>
          <w:numId w:val="3"/>
        </w:numPr>
      </w:pPr>
      <w:r>
        <w:rPr>
          <w:sz w:val="22"/>
          <w:szCs w:val="22"/>
        </w:rPr>
        <w:t xml:space="preserve">The Authority reserves the right to contact you at any time for clarification on all or any part of your Tender during this Procurement and which is likely to require a prompt response from you. </w:t>
      </w:r>
    </w:p>
    <w:p w:rsidR="00E027CC" w:rsidRDefault="00346DA8">
      <w:pPr>
        <w:rPr>
          <w:rFonts w:ascii="Arial" w:eastAsia="Arial" w:hAnsi="Arial" w:cs="Arial"/>
          <w:b/>
          <w:smallCaps/>
          <w:sz w:val="20"/>
          <w:szCs w:val="20"/>
          <w:highlight w:val="yellow"/>
        </w:rPr>
      </w:pPr>
      <w:r>
        <w:br w:type="page"/>
      </w:r>
    </w:p>
    <w:p w:rsidR="00E027CC" w:rsidRDefault="00346DA8" w:rsidP="00FB781C">
      <w:pPr>
        <w:pStyle w:val="Heading1"/>
        <w:numPr>
          <w:ilvl w:val="0"/>
          <w:numId w:val="3"/>
        </w:numPr>
        <w:rPr>
          <w:sz w:val="22"/>
          <w:szCs w:val="22"/>
        </w:rPr>
      </w:pPr>
      <w:bookmarkStart w:id="20" w:name="_2xcytpi" w:colFirst="0" w:colLast="0"/>
      <w:bookmarkEnd w:id="20"/>
      <w:r>
        <w:rPr>
          <w:sz w:val="22"/>
          <w:szCs w:val="22"/>
        </w:rPr>
        <w:lastRenderedPageBreak/>
        <w:t>OVERVIEW OF THE EVALUATION PROCESS</w:t>
      </w:r>
    </w:p>
    <w:p w:rsidR="00E027CC" w:rsidRDefault="00346DA8" w:rsidP="00FB781C">
      <w:pPr>
        <w:pStyle w:val="Heading2"/>
        <w:numPr>
          <w:ilvl w:val="1"/>
          <w:numId w:val="3"/>
        </w:numPr>
      </w:pPr>
      <w:r w:rsidRPr="00FB781C">
        <w:rPr>
          <w:sz w:val="22"/>
        </w:rPr>
        <w:t>Paragraphs 9, 10 and 11</w:t>
      </w:r>
      <w:r>
        <w:rPr>
          <w:sz w:val="22"/>
          <w:szCs w:val="22"/>
        </w:rPr>
        <w:t xml:space="preserve"> below set out and explain the procedure, stages and process by which the Authority will assess your Tender. The evaluation procedure is divided into the following key stages, which the Authority may nevertheless decide to run concurrently;</w:t>
      </w:r>
    </w:p>
    <w:p w:rsidR="00E027CC" w:rsidRDefault="00346DA8" w:rsidP="00FB781C">
      <w:pPr>
        <w:pStyle w:val="Heading3"/>
        <w:numPr>
          <w:ilvl w:val="2"/>
          <w:numId w:val="3"/>
        </w:numPr>
        <w:ind w:left="1700" w:hanging="735"/>
      </w:pPr>
      <w:bookmarkStart w:id="21" w:name="_1ci93xb" w:colFirst="0" w:colLast="0"/>
      <w:bookmarkEnd w:id="21"/>
      <w:r>
        <w:t>Compliance/validation – The Authority will check your Tender to ensure it is compliant with the ITT and that your responses are valid. This includes satisfying all the participation requirements listed in the online ‘Key Participation Requirements’ section. Non-compliant Tenders may be excluded from this Procurement by the Authority.</w:t>
      </w:r>
    </w:p>
    <w:p w:rsidR="00E027CC" w:rsidRDefault="00346DA8" w:rsidP="00FB781C">
      <w:pPr>
        <w:pStyle w:val="Heading3"/>
        <w:numPr>
          <w:ilvl w:val="2"/>
          <w:numId w:val="3"/>
        </w:numPr>
        <w:ind w:left="1700" w:hanging="735"/>
      </w:pPr>
      <w:bookmarkStart w:id="22" w:name="_3whwml4" w:colFirst="0" w:colLast="0"/>
      <w:bookmarkEnd w:id="22"/>
      <w:r>
        <w:t>Selection</w:t>
      </w:r>
      <w:r w:rsidR="007B20B5">
        <w:t xml:space="preserve"> (described in the e-Sourcing Suite as “Qualification Envelope”)</w:t>
      </w:r>
      <w:r>
        <w:t xml:space="preserve"> – The Authority will assess your responses to the Selection Questionnaire (Attachment 2) in accordance with paragra</w:t>
      </w:r>
      <w:r w:rsidRPr="00FB781C">
        <w:t>ph 9</w:t>
      </w:r>
      <w:r>
        <w:t xml:space="preserve"> below (“</w:t>
      </w:r>
      <w:r>
        <w:rPr>
          <w:b/>
        </w:rPr>
        <w:t>Selection Stage</w:t>
      </w:r>
      <w:r>
        <w:t>”). Tenders that do not meet the selection criteria at the Selection Stage will be excluded from this Procurement by the Authority.</w:t>
      </w:r>
    </w:p>
    <w:p w:rsidR="00E027CC" w:rsidRDefault="00346DA8" w:rsidP="00FB781C">
      <w:pPr>
        <w:pStyle w:val="Heading3"/>
        <w:numPr>
          <w:ilvl w:val="2"/>
          <w:numId w:val="3"/>
        </w:numPr>
        <w:ind w:left="1700" w:hanging="735"/>
      </w:pPr>
      <w:bookmarkStart w:id="23" w:name="_2bn6wsx" w:colFirst="0" w:colLast="0"/>
      <w:bookmarkEnd w:id="23"/>
      <w:r>
        <w:t xml:space="preserve"> Award</w:t>
      </w:r>
      <w:r w:rsidR="007B20B5">
        <w:t xml:space="preserve"> (described in the e-Sourcing Suite as “Technical Envelope” and “Commercial Envelope”)</w:t>
      </w:r>
      <w:r>
        <w:t xml:space="preserve"> – The Authority will assess your response to the Award Questionnaire (Attachment 3)</w:t>
      </w:r>
      <w:r w:rsidR="007B20B5">
        <w:t xml:space="preserve"> and the Pricing Matrix</w:t>
      </w:r>
      <w:r>
        <w:t xml:space="preserve"> in accordance with paragraph</w:t>
      </w:r>
      <w:r w:rsidRPr="00FB781C">
        <w:t xml:space="preserve"> 10 </w:t>
      </w:r>
      <w:r>
        <w:t>below (“</w:t>
      </w:r>
      <w:r>
        <w:rPr>
          <w:b/>
        </w:rPr>
        <w:t>Award Stage</w:t>
      </w:r>
      <w:r>
        <w:t>”).</w:t>
      </w:r>
    </w:p>
    <w:p w:rsidR="00E027CC" w:rsidRDefault="00346DA8" w:rsidP="00FB781C">
      <w:pPr>
        <w:pStyle w:val="Heading2"/>
        <w:numPr>
          <w:ilvl w:val="1"/>
          <w:numId w:val="3"/>
        </w:numPr>
      </w:pPr>
      <w:bookmarkStart w:id="24" w:name="_qsh70q" w:colFirst="0" w:colLast="0"/>
      <w:bookmarkEnd w:id="24"/>
      <w:r>
        <w:rPr>
          <w:b/>
          <w:sz w:val="22"/>
          <w:szCs w:val="22"/>
        </w:rPr>
        <w:t>Consensus Marking Procedure</w:t>
      </w:r>
    </w:p>
    <w:p w:rsidR="00E027CC" w:rsidRDefault="00346DA8" w:rsidP="00FB781C">
      <w:pPr>
        <w:pStyle w:val="Heading3"/>
        <w:numPr>
          <w:ilvl w:val="2"/>
          <w:numId w:val="3"/>
        </w:numPr>
        <w:ind w:left="1700" w:hanging="735"/>
      </w:pPr>
      <w:r>
        <w:t>Tenders that are scored and require evaluation will be evaluated in accordance with the procedure described in this paragraph and the Award Stage.</w:t>
      </w:r>
    </w:p>
    <w:p w:rsidR="00E027CC" w:rsidRDefault="00346DA8" w:rsidP="00FB781C">
      <w:pPr>
        <w:pStyle w:val="Heading3"/>
        <w:numPr>
          <w:ilvl w:val="2"/>
          <w:numId w:val="3"/>
        </w:numPr>
        <w:ind w:left="1700" w:hanging="735"/>
      </w:pPr>
      <w:r>
        <w:t>The Consensus Marking Procedure is a two-step process, comprising of:</w:t>
      </w:r>
    </w:p>
    <w:p w:rsidR="00E027CC" w:rsidRDefault="00346DA8" w:rsidP="00FB781C">
      <w:pPr>
        <w:pStyle w:val="Heading4"/>
        <w:numPr>
          <w:ilvl w:val="3"/>
          <w:numId w:val="3"/>
        </w:numPr>
      </w:pPr>
      <w:proofErr w:type="gramStart"/>
      <w:r>
        <w:t>independent</w:t>
      </w:r>
      <w:proofErr w:type="gramEnd"/>
      <w:r>
        <w:t xml:space="preserve"> evaluation; and</w:t>
      </w:r>
    </w:p>
    <w:p w:rsidR="00E027CC" w:rsidRDefault="00346DA8" w:rsidP="00FB781C">
      <w:pPr>
        <w:pStyle w:val="Heading4"/>
        <w:numPr>
          <w:ilvl w:val="3"/>
          <w:numId w:val="3"/>
        </w:numPr>
      </w:pPr>
      <w:proofErr w:type="gramStart"/>
      <w:r>
        <w:t>group</w:t>
      </w:r>
      <w:proofErr w:type="gramEnd"/>
      <w:r>
        <w:t xml:space="preserve"> consensus marking.</w:t>
      </w:r>
    </w:p>
    <w:p w:rsidR="00E027CC" w:rsidRDefault="00346DA8" w:rsidP="00FB781C">
      <w:pPr>
        <w:pStyle w:val="Heading3"/>
        <w:numPr>
          <w:ilvl w:val="2"/>
          <w:numId w:val="3"/>
        </w:numPr>
        <w:ind w:left="1700" w:hanging="735"/>
      </w:pPr>
      <w:r>
        <w:t>During the independent evaluation process each evaluator will separately (i.e. without conferring with other evaluators) scrutinise the quality of answers given by you in your Tender. Evaluators will apply the criteria applicable to the question as set out in the evaluation guidance to determine the overall quality of each answer. Each evaluator will then allocate a mark for the answer in accordance with the Marking Scheme applicable to that question. Each evaluator will also provide a justification for the mark he/she attributed to an answer. All of the evaluators’ marks and related justifications will be recorded separately in the e-Sourcing Suite.</w:t>
      </w:r>
    </w:p>
    <w:p w:rsidR="00E027CC" w:rsidRDefault="00346DA8" w:rsidP="00FB781C">
      <w:pPr>
        <w:pStyle w:val="Heading3"/>
        <w:numPr>
          <w:ilvl w:val="2"/>
          <w:numId w:val="3"/>
        </w:numPr>
        <w:ind w:left="1700" w:hanging="735"/>
      </w:pPr>
      <w:r>
        <w:t>When the independent evaluation exercise has been completed by all of the evaluators, a group consensus marking exercise will be coordinated by a consensus marker as follows:</w:t>
      </w:r>
    </w:p>
    <w:p w:rsidR="00E027CC" w:rsidRDefault="00346DA8" w:rsidP="00FB781C">
      <w:pPr>
        <w:pStyle w:val="Heading4"/>
        <w:numPr>
          <w:ilvl w:val="3"/>
          <w:numId w:val="3"/>
        </w:numPr>
      </w:pPr>
      <w:r>
        <w:t xml:space="preserve">The consensus marker will review the marks allocated by the individual evaluators together with their justifications for awarding the marks. </w:t>
      </w:r>
    </w:p>
    <w:p w:rsidR="00E027CC" w:rsidRDefault="00346DA8" w:rsidP="00FB781C">
      <w:pPr>
        <w:pStyle w:val="Heading4"/>
        <w:numPr>
          <w:ilvl w:val="3"/>
          <w:numId w:val="3"/>
        </w:numPr>
      </w:pPr>
      <w:r>
        <w:t xml:space="preserve">The consensus marker will arrange for the evaluators to meet and discuss the marks they have allocated to responses provided in the Tender. The consensus marker will facilitate discussion among the evaluators regarding the marks awarded and the related justifications. </w:t>
      </w:r>
    </w:p>
    <w:p w:rsidR="00E027CC" w:rsidRDefault="00346DA8" w:rsidP="00FB781C">
      <w:pPr>
        <w:pStyle w:val="Heading4"/>
        <w:numPr>
          <w:ilvl w:val="3"/>
          <w:numId w:val="3"/>
        </w:numPr>
      </w:pPr>
      <w:bookmarkStart w:id="25" w:name="_3as4poj" w:colFirst="0" w:colLast="0"/>
      <w:bookmarkEnd w:id="25"/>
      <w:r>
        <w:t xml:space="preserve">During the meeting each evaluator will discuss the quality of the answers given to a question and review his/her justification for attributing the marks having regard to the relevant Marking Schemes </w:t>
      </w:r>
      <w:r>
        <w:lastRenderedPageBreak/>
        <w:t xml:space="preserve">at Attachment 2 and Attachment 3. The evaluators will continue discussing the answers until the evaluators reach a consensus regarding the mark that should attributed to each Potential Provider’s answer to the question. </w:t>
      </w:r>
    </w:p>
    <w:p w:rsidR="00E027CC" w:rsidRDefault="00346DA8" w:rsidP="00FB781C">
      <w:pPr>
        <w:pStyle w:val="Heading4"/>
        <w:numPr>
          <w:ilvl w:val="3"/>
          <w:numId w:val="3"/>
        </w:numPr>
      </w:pPr>
      <w:r>
        <w:t xml:space="preserve">The consensus marker will record the consensus mark and the justification for the consensus mark (in addition to each evaluator’s original mark and justification) in the e-Sourcing Suite. </w:t>
      </w:r>
    </w:p>
    <w:p w:rsidR="00E027CC" w:rsidRDefault="00346DA8" w:rsidP="00FB781C">
      <w:pPr>
        <w:pStyle w:val="Heading4"/>
        <w:numPr>
          <w:ilvl w:val="3"/>
          <w:numId w:val="3"/>
        </w:numPr>
      </w:pPr>
      <w:r>
        <w:t>The process above will be repeated until all applicable answers in the Tender have been consensus marked by evaluators.</w:t>
      </w:r>
    </w:p>
    <w:p w:rsidR="00E027CC" w:rsidRDefault="00346DA8" w:rsidP="00FB781C">
      <w:pPr>
        <w:pStyle w:val="Heading4"/>
        <w:numPr>
          <w:ilvl w:val="3"/>
          <w:numId w:val="3"/>
        </w:numPr>
      </w:pPr>
      <w:r>
        <w:t xml:space="preserve">When the Consensus Marking Procedure has been completed, the </w:t>
      </w:r>
      <w:proofErr w:type="spellStart"/>
      <w:r>
        <w:t>eSourcing</w:t>
      </w:r>
      <w:proofErr w:type="spellEnd"/>
      <w:r>
        <w:t xml:space="preserve"> Suite will be updated with the consensus scores and rationale, and secured by the assigned individual (i.e. consensus manager). </w:t>
      </w:r>
    </w:p>
    <w:p w:rsidR="00E027CC" w:rsidRDefault="00346DA8">
      <w:pPr>
        <w:rPr>
          <w:rFonts w:ascii="Arial" w:eastAsia="Arial" w:hAnsi="Arial" w:cs="Arial"/>
          <w:b/>
          <w:smallCaps/>
        </w:rPr>
      </w:pPr>
      <w:bookmarkStart w:id="26" w:name="_1pxezwc" w:colFirst="0" w:colLast="0"/>
      <w:bookmarkEnd w:id="26"/>
      <w:r>
        <w:br w:type="page"/>
      </w:r>
    </w:p>
    <w:p w:rsidR="00E027CC" w:rsidRDefault="00346DA8" w:rsidP="00FB781C">
      <w:pPr>
        <w:pStyle w:val="Heading1"/>
        <w:numPr>
          <w:ilvl w:val="0"/>
          <w:numId w:val="3"/>
        </w:numPr>
        <w:rPr>
          <w:sz w:val="22"/>
          <w:szCs w:val="22"/>
        </w:rPr>
      </w:pPr>
      <w:bookmarkStart w:id="27" w:name="_49x2ik5" w:colFirst="0" w:colLast="0"/>
      <w:bookmarkEnd w:id="27"/>
      <w:r>
        <w:rPr>
          <w:sz w:val="22"/>
          <w:szCs w:val="22"/>
        </w:rPr>
        <w:lastRenderedPageBreak/>
        <w:t xml:space="preserve">COMPLIANCE/VALIDATION </w:t>
      </w:r>
    </w:p>
    <w:p w:rsidR="00E027CC" w:rsidRDefault="00346DA8" w:rsidP="00FB781C">
      <w:pPr>
        <w:pStyle w:val="Heading2"/>
        <w:numPr>
          <w:ilvl w:val="1"/>
          <w:numId w:val="3"/>
        </w:numPr>
      </w:pPr>
      <w:r>
        <w:rPr>
          <w:sz w:val="22"/>
          <w:szCs w:val="22"/>
        </w:rPr>
        <w:t xml:space="preserve">Prior to commencing the formal evaluation process, Tenders will be checked to ensure they are complaint with the requirements of this ITT and its Attachments. Any non-compliant Tenders may, including in the event further questions are asked or clarification is sought by the Authority but the Potential Provider fails to produce a satisfactory response, be rejected by the Authority without proceeding to the next stage of evaluation. </w:t>
      </w:r>
    </w:p>
    <w:p w:rsidR="00E027CC" w:rsidRDefault="00E027CC" w:rsidP="00FB781C">
      <w:pPr>
        <w:pStyle w:val="Heading2"/>
        <w:ind w:left="720" w:firstLine="0"/>
      </w:pPr>
    </w:p>
    <w:p w:rsidR="00E027CC" w:rsidRDefault="00346DA8">
      <w:pPr>
        <w:pStyle w:val="Heading1"/>
        <w:numPr>
          <w:ilvl w:val="0"/>
          <w:numId w:val="3"/>
        </w:numPr>
        <w:rPr>
          <w:sz w:val="22"/>
          <w:szCs w:val="22"/>
        </w:rPr>
      </w:pPr>
      <w:bookmarkStart w:id="28" w:name="_2p2csry" w:colFirst="0" w:colLast="0"/>
      <w:bookmarkEnd w:id="28"/>
      <w:r>
        <w:rPr>
          <w:sz w:val="22"/>
          <w:szCs w:val="22"/>
        </w:rPr>
        <w:t>SELECTION STAGE EVALUATION</w:t>
      </w:r>
      <w:r w:rsidR="007B20B5">
        <w:rPr>
          <w:sz w:val="22"/>
          <w:szCs w:val="22"/>
        </w:rPr>
        <w:t xml:space="preserve"> (QUALIFICATION ENVELOPE)</w:t>
      </w:r>
    </w:p>
    <w:p w:rsidR="00E027CC" w:rsidRDefault="00346DA8">
      <w:pPr>
        <w:pStyle w:val="Heading2"/>
        <w:numPr>
          <w:ilvl w:val="1"/>
          <w:numId w:val="3"/>
        </w:numPr>
        <w:pBdr>
          <w:top w:val="nil"/>
          <w:left w:val="nil"/>
          <w:bottom w:val="nil"/>
          <w:right w:val="nil"/>
          <w:between w:val="nil"/>
        </w:pBdr>
      </w:pPr>
      <w:bookmarkStart w:id="29" w:name="_6lbouyncvkj2" w:colFirst="0" w:colLast="0"/>
      <w:bookmarkEnd w:id="29"/>
      <w:r>
        <w:rPr>
          <w:sz w:val="22"/>
          <w:szCs w:val="22"/>
        </w:rPr>
        <w:t>At the Selection Stage, the Authority will evaluate Potential Providers’ technical, professional and financial capabilities. The Authority will ask a range of questions appropriate to the procurement. It is important that you answer these questions accurately.</w:t>
      </w:r>
    </w:p>
    <w:p w:rsidR="00E027CC" w:rsidRDefault="00346DA8">
      <w:pPr>
        <w:pStyle w:val="Heading2"/>
        <w:numPr>
          <w:ilvl w:val="1"/>
          <w:numId w:val="3"/>
        </w:numPr>
        <w:pBdr>
          <w:top w:val="nil"/>
          <w:left w:val="nil"/>
          <w:bottom w:val="nil"/>
          <w:right w:val="nil"/>
          <w:between w:val="nil"/>
        </w:pBdr>
      </w:pPr>
      <w:bookmarkStart w:id="30" w:name="_8y4xfyuh33ci" w:colFirst="0" w:colLast="0"/>
      <w:bookmarkEnd w:id="30"/>
      <w:r>
        <w:rPr>
          <w:sz w:val="22"/>
          <w:szCs w:val="22"/>
        </w:rPr>
        <w:t>If you are relying on any Key Sub-Contractors to provide the answers to the technical</w:t>
      </w:r>
      <w:r w:rsidRPr="00FB781C">
        <w:rPr>
          <w:sz w:val="22"/>
        </w:rPr>
        <w:t xml:space="preserve"> and </w:t>
      </w:r>
      <w:r>
        <w:rPr>
          <w:sz w:val="22"/>
          <w:szCs w:val="22"/>
        </w:rPr>
        <w:t>professional ability questions, or you are relying on a Guarantor to pass the economic and financial assessment, they must complete Parts 2 and 3 for themselves.</w:t>
      </w:r>
    </w:p>
    <w:p w:rsidR="00E027CC" w:rsidRDefault="00346DA8">
      <w:pPr>
        <w:pStyle w:val="Heading2"/>
        <w:numPr>
          <w:ilvl w:val="1"/>
          <w:numId w:val="3"/>
        </w:numPr>
        <w:pBdr>
          <w:top w:val="nil"/>
          <w:left w:val="nil"/>
          <w:bottom w:val="nil"/>
          <w:right w:val="nil"/>
          <w:between w:val="nil"/>
        </w:pBdr>
      </w:pPr>
      <w:bookmarkStart w:id="31" w:name="_o9f2ytw0b3ip" w:colFirst="0" w:colLast="0"/>
      <w:bookmarkEnd w:id="31"/>
      <w:r>
        <w:rPr>
          <w:sz w:val="22"/>
          <w:szCs w:val="22"/>
        </w:rPr>
        <w:t>In addition, if you are the lead member of a Consortium, you must get each of the other members to answer the questions</w:t>
      </w:r>
      <w:r w:rsidRPr="00FB781C">
        <w:rPr>
          <w:sz w:val="22"/>
        </w:rPr>
        <w:t xml:space="preserve"> </w:t>
      </w:r>
      <w:r>
        <w:rPr>
          <w:sz w:val="22"/>
          <w:szCs w:val="22"/>
        </w:rPr>
        <w:t>in Parts 2 and 3 for themselves.</w:t>
      </w:r>
    </w:p>
    <w:p w:rsidR="00E027CC" w:rsidRDefault="00346DA8">
      <w:pPr>
        <w:pStyle w:val="Heading2"/>
        <w:numPr>
          <w:ilvl w:val="1"/>
          <w:numId w:val="3"/>
        </w:numPr>
        <w:pBdr>
          <w:top w:val="nil"/>
          <w:left w:val="nil"/>
          <w:bottom w:val="nil"/>
          <w:right w:val="nil"/>
          <w:between w:val="nil"/>
        </w:pBdr>
      </w:pPr>
      <w:bookmarkStart w:id="32" w:name="_ei6lghy9fchn" w:colFirst="0" w:colLast="0"/>
      <w:bookmarkEnd w:id="32"/>
      <w:r>
        <w:rPr>
          <w:sz w:val="22"/>
          <w:szCs w:val="22"/>
        </w:rPr>
        <w:t>The ‘Information and declaration’ workbook (Attachment 7) is provided to enable you to collect and submit this data to the Authority, whether from organisations on whom you are relying (for example a Key Sub-Contractor or a Guarantor) or from other members of a Consortium. Or they can provide you with their European Single Procurement Document (ESPD).</w:t>
      </w:r>
    </w:p>
    <w:p w:rsidR="00E027CC" w:rsidRDefault="00346DA8">
      <w:pPr>
        <w:numPr>
          <w:ilvl w:val="1"/>
          <w:numId w:val="3"/>
        </w:numPr>
        <w:tabs>
          <w:tab w:val="left" w:pos="851"/>
        </w:tabs>
        <w:rPr>
          <w:rFonts w:ascii="Arial" w:eastAsia="Arial" w:hAnsi="Arial" w:cs="Arial"/>
          <w:b/>
        </w:rPr>
      </w:pPr>
      <w:r>
        <w:rPr>
          <w:rFonts w:ascii="Arial" w:eastAsia="Arial" w:hAnsi="Arial" w:cs="Arial"/>
          <w:b/>
        </w:rPr>
        <w:t>Selection process</w:t>
      </w:r>
    </w:p>
    <w:p w:rsidR="00E027CC" w:rsidRDefault="00346DA8">
      <w:pPr>
        <w:pStyle w:val="Heading3"/>
        <w:numPr>
          <w:ilvl w:val="2"/>
          <w:numId w:val="3"/>
        </w:numPr>
        <w:pBdr>
          <w:top w:val="nil"/>
          <w:left w:val="nil"/>
          <w:bottom w:val="nil"/>
          <w:right w:val="nil"/>
          <w:between w:val="nil"/>
        </w:pBdr>
        <w:ind w:left="1700" w:hanging="735"/>
      </w:pPr>
      <w:r>
        <w:t>After the</w:t>
      </w:r>
      <w:r w:rsidRPr="002F362B">
        <w:t xml:space="preserve"> Tender </w:t>
      </w:r>
      <w:r>
        <w:t>Submission Deadline the Authority will check all Tenders to make sure we have received everything we have asked for.</w:t>
      </w:r>
    </w:p>
    <w:p w:rsidR="00E027CC" w:rsidRDefault="00346DA8">
      <w:pPr>
        <w:pStyle w:val="Heading3"/>
        <w:numPr>
          <w:ilvl w:val="2"/>
          <w:numId w:val="3"/>
        </w:numPr>
        <w:pBdr>
          <w:top w:val="nil"/>
          <w:left w:val="nil"/>
          <w:bottom w:val="nil"/>
          <w:right w:val="nil"/>
          <w:between w:val="nil"/>
        </w:pBdr>
        <w:ind w:left="1700" w:hanging="735"/>
      </w:pPr>
      <w:r>
        <w:t xml:space="preserve">We may ask you to clarify information you provide, if that is necessary. Don’t forget to check for messages in the </w:t>
      </w:r>
      <w:proofErr w:type="spellStart"/>
      <w:r>
        <w:t>eSourcing</w:t>
      </w:r>
      <w:proofErr w:type="spellEnd"/>
      <w:r>
        <w:t xml:space="preserve"> suite throughout the Procurement. You must log on to the </w:t>
      </w:r>
      <w:proofErr w:type="spellStart"/>
      <w:r>
        <w:t>eSourcing</w:t>
      </w:r>
      <w:proofErr w:type="spellEnd"/>
      <w:r>
        <w:t xml:space="preserve"> suite and access your message inbox for this Procurement to check for messages.</w:t>
      </w:r>
    </w:p>
    <w:p w:rsidR="00E027CC" w:rsidRDefault="00346DA8" w:rsidP="00FB781C">
      <w:pPr>
        <w:pStyle w:val="Heading3"/>
        <w:numPr>
          <w:ilvl w:val="2"/>
          <w:numId w:val="3"/>
        </w:numPr>
        <w:pBdr>
          <w:top w:val="nil"/>
          <w:left w:val="nil"/>
          <w:bottom w:val="nil"/>
          <w:right w:val="nil"/>
          <w:between w:val="nil"/>
        </w:pBdr>
        <w:ind w:left="1700" w:hanging="735"/>
      </w:pPr>
      <w:r>
        <w:t xml:space="preserve">If your Tender is not compliant we will reject it and you will be </w:t>
      </w:r>
      <w:r w:rsidRPr="002F362B">
        <w:t xml:space="preserve">excluded from </w:t>
      </w:r>
      <w:r>
        <w:t>the</w:t>
      </w:r>
      <w:r w:rsidRPr="002F362B">
        <w:t xml:space="preserve"> Procurement. </w:t>
      </w:r>
      <w:r>
        <w:t>We will tell you why your Tender is not compliant.</w:t>
      </w:r>
    </w:p>
    <w:p w:rsidR="00E027CC" w:rsidRDefault="00346DA8">
      <w:pPr>
        <w:pStyle w:val="Heading3"/>
        <w:numPr>
          <w:ilvl w:val="2"/>
          <w:numId w:val="3"/>
        </w:numPr>
        <w:pBdr>
          <w:top w:val="nil"/>
          <w:left w:val="nil"/>
          <w:bottom w:val="nil"/>
          <w:right w:val="nil"/>
          <w:between w:val="nil"/>
        </w:pBdr>
        <w:ind w:left="1700" w:hanging="735"/>
      </w:pPr>
      <w:r>
        <w:t>Not all selection questions in the Selection Questionnaire need guidance as the questions are self-evident. However other questions such as the financial question, require a process to be undertaken before we can assess your response. In those instances we have told you what we will do in the evaluation guidance.</w:t>
      </w:r>
    </w:p>
    <w:p w:rsidR="00E027CC" w:rsidRDefault="00346DA8">
      <w:pPr>
        <w:numPr>
          <w:ilvl w:val="1"/>
          <w:numId w:val="3"/>
        </w:numPr>
        <w:tabs>
          <w:tab w:val="left" w:pos="851"/>
        </w:tabs>
        <w:rPr>
          <w:rFonts w:ascii="Arial" w:eastAsia="Arial" w:hAnsi="Arial" w:cs="Arial"/>
          <w:b/>
        </w:rPr>
      </w:pPr>
      <w:r>
        <w:rPr>
          <w:rFonts w:ascii="Arial" w:eastAsia="Arial" w:hAnsi="Arial" w:cs="Arial"/>
          <w:b/>
        </w:rPr>
        <w:t>Selection criteria</w:t>
      </w:r>
    </w:p>
    <w:p w:rsidR="00E027CC" w:rsidRDefault="00346DA8">
      <w:pPr>
        <w:pStyle w:val="Heading3"/>
        <w:numPr>
          <w:ilvl w:val="2"/>
          <w:numId w:val="3"/>
        </w:numPr>
        <w:pBdr>
          <w:top w:val="nil"/>
          <w:left w:val="nil"/>
          <w:bottom w:val="nil"/>
          <w:right w:val="nil"/>
          <w:between w:val="nil"/>
        </w:pBdr>
        <w:ind w:left="1700" w:hanging="735"/>
      </w:pPr>
      <w:r>
        <w:t>We may exclude you from the Procurement at the Selection Stage if:</w:t>
      </w:r>
    </w:p>
    <w:p w:rsidR="00E027CC" w:rsidRDefault="00346DA8">
      <w:pPr>
        <w:pStyle w:val="Heading3"/>
        <w:numPr>
          <w:ilvl w:val="3"/>
          <w:numId w:val="3"/>
        </w:numPr>
        <w:pBdr>
          <w:top w:val="nil"/>
          <w:left w:val="nil"/>
          <w:bottom w:val="nil"/>
          <w:right w:val="nil"/>
          <w:between w:val="nil"/>
        </w:pBdr>
      </w:pPr>
      <w:proofErr w:type="gramStart"/>
      <w:r>
        <w:t>you</w:t>
      </w:r>
      <w:proofErr w:type="gramEnd"/>
      <w:r>
        <w:t xml:space="preserve"> receive a ‘fail’ for any of the evaluated selection questions.</w:t>
      </w:r>
    </w:p>
    <w:p w:rsidR="00E027CC" w:rsidRDefault="00346DA8">
      <w:pPr>
        <w:pStyle w:val="Heading3"/>
        <w:numPr>
          <w:ilvl w:val="3"/>
          <w:numId w:val="3"/>
        </w:numPr>
        <w:pBdr>
          <w:top w:val="nil"/>
          <w:left w:val="nil"/>
          <w:bottom w:val="nil"/>
          <w:right w:val="nil"/>
          <w:between w:val="nil"/>
        </w:pBdr>
      </w:pPr>
      <w:proofErr w:type="gramStart"/>
      <w:r>
        <w:t>any</w:t>
      </w:r>
      <w:proofErr w:type="gramEnd"/>
      <w:r>
        <w:t xml:space="preserve"> of the</w:t>
      </w:r>
      <w:bookmarkStart w:id="33" w:name="_147n2zr" w:colFirst="0" w:colLast="0"/>
      <w:bookmarkEnd w:id="33"/>
      <w:r w:rsidRPr="002F362B">
        <w:t xml:space="preserve"> information </w:t>
      </w:r>
      <w:r>
        <w:t>you have provided proves</w:t>
      </w:r>
      <w:r w:rsidRPr="002F362B">
        <w:t xml:space="preserve"> to</w:t>
      </w:r>
      <w:r>
        <w:t xml:space="preserve"> be false or misleading.</w:t>
      </w:r>
    </w:p>
    <w:p w:rsidR="00E027CC" w:rsidRDefault="00346DA8">
      <w:pPr>
        <w:pStyle w:val="Heading3"/>
        <w:numPr>
          <w:ilvl w:val="3"/>
          <w:numId w:val="3"/>
        </w:numPr>
        <w:pBdr>
          <w:top w:val="nil"/>
          <w:left w:val="nil"/>
          <w:bottom w:val="nil"/>
          <w:right w:val="nil"/>
          <w:between w:val="nil"/>
        </w:pBdr>
      </w:pPr>
      <w:proofErr w:type="gramStart"/>
      <w:r>
        <w:t>you</w:t>
      </w:r>
      <w:proofErr w:type="gramEnd"/>
      <w:r>
        <w:t xml:space="preserve"> have broken any of the rules of the Procurement, or not followed the instructions given in this ITT pack.</w:t>
      </w:r>
    </w:p>
    <w:p w:rsidR="00E027CC" w:rsidRDefault="00346DA8">
      <w:pPr>
        <w:pStyle w:val="Heading3"/>
        <w:numPr>
          <w:ilvl w:val="2"/>
          <w:numId w:val="3"/>
        </w:numPr>
        <w:pBdr>
          <w:top w:val="nil"/>
          <w:left w:val="nil"/>
          <w:bottom w:val="nil"/>
          <w:right w:val="nil"/>
          <w:between w:val="nil"/>
        </w:pBdr>
        <w:ind w:left="1700" w:hanging="735"/>
      </w:pPr>
      <w:r>
        <w:lastRenderedPageBreak/>
        <w:t>If we exclude you from the Procurement we will tell you and explain why.</w:t>
      </w:r>
    </w:p>
    <w:p w:rsidR="00E027CC" w:rsidRDefault="00346DA8">
      <w:pPr>
        <w:numPr>
          <w:ilvl w:val="1"/>
          <w:numId w:val="3"/>
        </w:numPr>
        <w:pBdr>
          <w:top w:val="nil"/>
          <w:left w:val="nil"/>
          <w:bottom w:val="nil"/>
          <w:right w:val="nil"/>
          <w:between w:val="nil"/>
        </w:pBdr>
        <w:tabs>
          <w:tab w:val="left" w:pos="851"/>
        </w:tabs>
        <w:rPr>
          <w:rFonts w:ascii="Arial" w:eastAsia="Arial" w:hAnsi="Arial" w:cs="Arial"/>
          <w:b/>
        </w:rPr>
      </w:pPr>
      <w:r>
        <w:rPr>
          <w:rFonts w:ascii="Arial" w:eastAsia="Arial" w:hAnsi="Arial" w:cs="Arial"/>
          <w:b/>
        </w:rPr>
        <w:t>Selection questionnaire</w:t>
      </w:r>
    </w:p>
    <w:p w:rsidR="00E027CC" w:rsidRDefault="00346DA8" w:rsidP="00FB781C">
      <w:pPr>
        <w:pStyle w:val="Heading3"/>
        <w:numPr>
          <w:ilvl w:val="2"/>
          <w:numId w:val="3"/>
        </w:numPr>
        <w:pBdr>
          <w:top w:val="nil"/>
          <w:left w:val="nil"/>
          <w:bottom w:val="nil"/>
          <w:right w:val="nil"/>
          <w:between w:val="nil"/>
        </w:pBdr>
        <w:ind w:left="1700" w:hanging="735"/>
      </w:pPr>
      <w:r>
        <w:t>Please refer to Attachment 2 Selection Questionnaire. Remember you must complete</w:t>
      </w:r>
      <w:r w:rsidRPr="002F362B">
        <w:t xml:space="preserve"> the Selection Questionnaire online in the </w:t>
      </w:r>
      <w:proofErr w:type="spellStart"/>
      <w:r w:rsidRPr="002F362B">
        <w:t>eSourcing</w:t>
      </w:r>
      <w:proofErr w:type="spellEnd"/>
      <w:r w:rsidRPr="002F362B">
        <w:t xml:space="preserve"> suite (qualification envelope</w:t>
      </w:r>
      <w:r>
        <w:t>).</w:t>
      </w:r>
    </w:p>
    <w:p w:rsidR="00E027CC" w:rsidRDefault="00346DA8" w:rsidP="00FB781C">
      <w:pPr>
        <w:pStyle w:val="Heading3"/>
        <w:numPr>
          <w:ilvl w:val="2"/>
          <w:numId w:val="3"/>
        </w:numPr>
        <w:pBdr>
          <w:top w:val="nil"/>
          <w:left w:val="nil"/>
          <w:bottom w:val="nil"/>
          <w:right w:val="nil"/>
          <w:between w:val="nil"/>
        </w:pBdr>
        <w:ind w:left="1700" w:hanging="735"/>
      </w:pPr>
      <w:r>
        <w:t>You have the option of responding to Part</w:t>
      </w:r>
      <w:r w:rsidRPr="00FB781C">
        <w:rPr>
          <w:sz w:val="20"/>
          <w:szCs w:val="20"/>
        </w:rPr>
        <w:t xml:space="preserve"> 2 and </w:t>
      </w:r>
      <w:r>
        <w:t xml:space="preserve">Part </w:t>
      </w:r>
      <w:r w:rsidRPr="00FB781C">
        <w:rPr>
          <w:sz w:val="20"/>
          <w:szCs w:val="20"/>
        </w:rPr>
        <w:t xml:space="preserve">3 </w:t>
      </w:r>
      <w:r>
        <w:t>by attaching Parts II and III of your European Single Procurement Document (ESPD).</w:t>
      </w:r>
    </w:p>
    <w:p w:rsidR="00E027CC" w:rsidRDefault="00346DA8">
      <w:pPr>
        <w:pStyle w:val="Heading3"/>
        <w:numPr>
          <w:ilvl w:val="2"/>
          <w:numId w:val="3"/>
        </w:numPr>
        <w:pBdr>
          <w:top w:val="nil"/>
          <w:left w:val="nil"/>
          <w:bottom w:val="nil"/>
          <w:right w:val="nil"/>
          <w:between w:val="nil"/>
        </w:pBdr>
        <w:ind w:left="1700" w:hanging="735"/>
      </w:pPr>
      <w:r>
        <w:t>If you are submitting an EU ESPD you must still complete Parts 2A, 2B, 4, 5, 6, 7, 8, 9, 10, 11 and the declaration.</w:t>
      </w:r>
    </w:p>
    <w:p w:rsidR="00E027CC" w:rsidRDefault="00E027CC">
      <w:pPr>
        <w:pStyle w:val="Heading2"/>
        <w:pBdr>
          <w:top w:val="nil"/>
          <w:left w:val="nil"/>
          <w:bottom w:val="nil"/>
          <w:right w:val="nil"/>
          <w:between w:val="nil"/>
        </w:pBdr>
        <w:ind w:left="720" w:firstLine="0"/>
      </w:pPr>
    </w:p>
    <w:p w:rsidR="00E027CC" w:rsidRDefault="00E027CC">
      <w:pPr>
        <w:rPr>
          <w:rFonts w:ascii="Arial" w:eastAsia="Arial" w:hAnsi="Arial" w:cs="Arial"/>
          <w:b/>
          <w:smallCaps/>
          <w:sz w:val="20"/>
          <w:szCs w:val="20"/>
        </w:rPr>
      </w:pPr>
      <w:bookmarkStart w:id="34" w:name="_3fwokq0" w:colFirst="0" w:colLast="0"/>
      <w:bookmarkStart w:id="35" w:name="_3o7alnk" w:colFirst="0" w:colLast="0"/>
      <w:bookmarkStart w:id="36" w:name="_23ckvvd" w:colFirst="0" w:colLast="0"/>
      <w:bookmarkStart w:id="37" w:name="_32hioqz" w:colFirst="0" w:colLast="0"/>
      <w:bookmarkStart w:id="38" w:name="_1hmsyys" w:colFirst="0" w:colLast="0"/>
      <w:bookmarkStart w:id="39" w:name="_41mghml" w:colFirst="0" w:colLast="0"/>
      <w:bookmarkStart w:id="40" w:name="_2grqrue" w:colFirst="0" w:colLast="0"/>
      <w:bookmarkEnd w:id="34"/>
      <w:bookmarkEnd w:id="35"/>
      <w:bookmarkEnd w:id="36"/>
      <w:bookmarkEnd w:id="37"/>
      <w:bookmarkEnd w:id="38"/>
      <w:bookmarkEnd w:id="39"/>
      <w:bookmarkEnd w:id="40"/>
    </w:p>
    <w:p w:rsidR="00E027CC" w:rsidRDefault="00346DA8">
      <w:pPr>
        <w:rPr>
          <w:rFonts w:ascii="Arial" w:eastAsia="Arial" w:hAnsi="Arial" w:cs="Arial"/>
          <w:b/>
          <w:smallCaps/>
          <w:sz w:val="20"/>
          <w:szCs w:val="20"/>
        </w:rPr>
      </w:pPr>
      <w:r>
        <w:br w:type="page"/>
      </w:r>
    </w:p>
    <w:p w:rsidR="00E027CC" w:rsidRDefault="00346DA8" w:rsidP="00FB781C">
      <w:pPr>
        <w:pStyle w:val="Heading1"/>
        <w:numPr>
          <w:ilvl w:val="0"/>
          <w:numId w:val="3"/>
        </w:numPr>
        <w:rPr>
          <w:sz w:val="22"/>
          <w:szCs w:val="22"/>
        </w:rPr>
      </w:pPr>
      <w:bookmarkStart w:id="41" w:name="_1v1yuxt" w:colFirst="0" w:colLast="0"/>
      <w:bookmarkEnd w:id="41"/>
      <w:r>
        <w:rPr>
          <w:sz w:val="22"/>
          <w:szCs w:val="22"/>
        </w:rPr>
        <w:lastRenderedPageBreak/>
        <w:t>AWARD STAGE EVALUATION</w:t>
      </w:r>
      <w:r w:rsidR="007B20B5">
        <w:rPr>
          <w:sz w:val="22"/>
          <w:szCs w:val="22"/>
        </w:rPr>
        <w:t xml:space="preserve"> (TECHNICAL AND COMMERCIAL ENVELOPE)</w:t>
      </w:r>
    </w:p>
    <w:p w:rsidR="00E027CC" w:rsidRDefault="00346DA8" w:rsidP="00FB781C">
      <w:pPr>
        <w:pStyle w:val="Heading2"/>
        <w:numPr>
          <w:ilvl w:val="1"/>
          <w:numId w:val="3"/>
        </w:numPr>
      </w:pPr>
      <w:r>
        <w:rPr>
          <w:sz w:val="22"/>
          <w:szCs w:val="22"/>
        </w:rPr>
        <w:t>Once the Potential Providers’ Tenders have been successfully evaluated at Selection Stage, consideration will then be given to the responses to the Award Questionnaire and evaluated in accordance with this paragraph 11.</w:t>
      </w:r>
    </w:p>
    <w:p w:rsidR="00E027CC" w:rsidRDefault="00346DA8" w:rsidP="00FB781C">
      <w:pPr>
        <w:pStyle w:val="Heading2"/>
        <w:numPr>
          <w:ilvl w:val="1"/>
          <w:numId w:val="3"/>
        </w:numPr>
      </w:pPr>
      <w:r>
        <w:rPr>
          <w:sz w:val="22"/>
          <w:szCs w:val="22"/>
        </w:rPr>
        <w:t>The Award Stage evaluation will comprise of:</w:t>
      </w:r>
    </w:p>
    <w:p w:rsidR="00E027CC" w:rsidRDefault="00346DA8" w:rsidP="00FB781C">
      <w:pPr>
        <w:pStyle w:val="Heading3"/>
        <w:numPr>
          <w:ilvl w:val="2"/>
          <w:numId w:val="3"/>
        </w:numPr>
        <w:ind w:left="1700" w:hanging="735"/>
      </w:pPr>
      <w:r>
        <w:t>an evaluation of Potential Provider’s answers to the Award Questionnaire (“</w:t>
      </w:r>
      <w:r>
        <w:rPr>
          <w:b/>
        </w:rPr>
        <w:t>Quality Evaluation</w:t>
      </w:r>
      <w:r>
        <w:t>”)which will account for 90% of the evaluation; and</w:t>
      </w:r>
    </w:p>
    <w:p w:rsidR="00E027CC" w:rsidRDefault="00346DA8" w:rsidP="00FB781C">
      <w:pPr>
        <w:pStyle w:val="Heading3"/>
        <w:numPr>
          <w:ilvl w:val="2"/>
          <w:numId w:val="3"/>
        </w:numPr>
        <w:ind w:left="1700" w:hanging="735"/>
      </w:pPr>
      <w:r>
        <w:t>an evaluation of the prices tendered in response to the Price Information (“</w:t>
      </w:r>
      <w:r>
        <w:rPr>
          <w:b/>
        </w:rPr>
        <w:t>Price Evaluation</w:t>
      </w:r>
      <w:r>
        <w:t>”) which will account for 10% of the evaluation.</w:t>
      </w:r>
    </w:p>
    <w:p w:rsidR="00E027CC" w:rsidRDefault="00346DA8" w:rsidP="00FB781C">
      <w:pPr>
        <w:pStyle w:val="Heading2"/>
        <w:numPr>
          <w:ilvl w:val="1"/>
          <w:numId w:val="3"/>
        </w:numPr>
      </w:pPr>
      <w:r>
        <w:rPr>
          <w:sz w:val="22"/>
          <w:szCs w:val="22"/>
        </w:rPr>
        <w:t>The maximum possible score capable of being achieved by a Potential Provider will be 100 points (being the combined sum of the scores achieved for Quality Evaluation and the Price Evaluation respectively i.e. 90 + 10).</w:t>
      </w:r>
    </w:p>
    <w:p w:rsidR="00E027CC" w:rsidRDefault="00346DA8" w:rsidP="00FB781C">
      <w:pPr>
        <w:pStyle w:val="Heading2"/>
        <w:numPr>
          <w:ilvl w:val="1"/>
          <w:numId w:val="3"/>
        </w:numPr>
      </w:pPr>
      <w:bookmarkStart w:id="42" w:name="_4f1mdlm" w:colFirst="0" w:colLast="0"/>
      <w:bookmarkEnd w:id="42"/>
      <w:r>
        <w:rPr>
          <w:sz w:val="22"/>
          <w:szCs w:val="22"/>
        </w:rPr>
        <w:t>The Quality and Price scores available summarised in the table below:</w:t>
      </w:r>
    </w:p>
    <w:tbl>
      <w:tblPr>
        <w:tblStyle w:val="a1"/>
        <w:tblW w:w="8010" w:type="dxa"/>
        <w:tblInd w:w="817"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400" w:firstRow="0" w:lastRow="0" w:firstColumn="0" w:lastColumn="0" w:noHBand="0" w:noVBand="1"/>
      </w:tblPr>
      <w:tblGrid>
        <w:gridCol w:w="2171"/>
        <w:gridCol w:w="2343"/>
        <w:gridCol w:w="3496"/>
      </w:tblGrid>
      <w:tr w:rsidR="00FB781C" w:rsidTr="00FB781C">
        <w:trPr>
          <w:trHeight w:val="860"/>
        </w:trPr>
        <w:tc>
          <w:tcPr>
            <w:tcW w:w="1695" w:type="dxa"/>
            <w:shd w:val="clear" w:color="auto" w:fill="D9D9D9"/>
            <w:vAlign w:val="center"/>
          </w:tcPr>
          <w:p w:rsidR="00FB781C" w:rsidRDefault="00FB781C">
            <w:pPr>
              <w:pBdr>
                <w:top w:val="nil"/>
                <w:left w:val="nil"/>
                <w:bottom w:val="nil"/>
                <w:right w:val="nil"/>
                <w:between w:val="nil"/>
              </w:pBdr>
              <w:spacing w:before="60" w:after="60"/>
              <w:jc w:val="center"/>
              <w:rPr>
                <w:rFonts w:ascii="Arial" w:eastAsia="Arial" w:hAnsi="Arial" w:cs="Arial"/>
                <w:color w:val="000000"/>
                <w:sz w:val="22"/>
                <w:szCs w:val="22"/>
              </w:rPr>
            </w:pPr>
            <w:r>
              <w:rPr>
                <w:rFonts w:ascii="Arial" w:eastAsia="Arial" w:hAnsi="Arial" w:cs="Arial"/>
                <w:b/>
                <w:color w:val="000000"/>
                <w:sz w:val="22"/>
                <w:szCs w:val="22"/>
              </w:rPr>
              <w:t>QUALITY EVALUATION</w:t>
            </w:r>
          </w:p>
        </w:tc>
        <w:tc>
          <w:tcPr>
            <w:tcW w:w="1830" w:type="dxa"/>
            <w:shd w:val="clear" w:color="auto" w:fill="D9D9D9"/>
            <w:vAlign w:val="center"/>
          </w:tcPr>
          <w:p w:rsidR="00FB781C" w:rsidRDefault="00FB781C">
            <w:pPr>
              <w:pBdr>
                <w:top w:val="nil"/>
                <w:left w:val="nil"/>
                <w:bottom w:val="nil"/>
                <w:right w:val="nil"/>
                <w:between w:val="nil"/>
              </w:pBdr>
              <w:spacing w:before="60" w:after="60"/>
              <w:jc w:val="center"/>
              <w:rPr>
                <w:rFonts w:ascii="Arial" w:eastAsia="Arial" w:hAnsi="Arial" w:cs="Arial"/>
                <w:b/>
                <w:color w:val="000000"/>
                <w:sz w:val="22"/>
                <w:szCs w:val="22"/>
              </w:rPr>
            </w:pPr>
            <w:r>
              <w:rPr>
                <w:rFonts w:ascii="Arial" w:eastAsia="Arial" w:hAnsi="Arial" w:cs="Arial"/>
                <w:b/>
                <w:color w:val="000000"/>
                <w:sz w:val="22"/>
                <w:szCs w:val="22"/>
              </w:rPr>
              <w:t>PRICE EVALUATION</w:t>
            </w:r>
          </w:p>
        </w:tc>
        <w:tc>
          <w:tcPr>
            <w:tcW w:w="2730" w:type="dxa"/>
            <w:shd w:val="clear" w:color="auto" w:fill="D9D9D9"/>
            <w:vAlign w:val="center"/>
          </w:tcPr>
          <w:p w:rsidR="00FB781C" w:rsidRDefault="00FB781C">
            <w:pPr>
              <w:pBdr>
                <w:top w:val="nil"/>
                <w:left w:val="nil"/>
                <w:bottom w:val="nil"/>
                <w:right w:val="nil"/>
                <w:between w:val="nil"/>
              </w:pBdr>
              <w:spacing w:before="60" w:after="60"/>
              <w:jc w:val="center"/>
              <w:rPr>
                <w:rFonts w:ascii="Arial" w:eastAsia="Arial" w:hAnsi="Arial" w:cs="Arial"/>
                <w:b/>
                <w:color w:val="000000"/>
                <w:sz w:val="22"/>
                <w:szCs w:val="22"/>
              </w:rPr>
            </w:pPr>
            <w:r>
              <w:rPr>
                <w:rFonts w:ascii="Arial" w:eastAsia="Arial" w:hAnsi="Arial" w:cs="Arial"/>
                <w:b/>
                <w:color w:val="000000"/>
                <w:sz w:val="22"/>
                <w:szCs w:val="22"/>
              </w:rPr>
              <w:t>MAXIMUM POSSIBLE SCORE</w:t>
            </w:r>
          </w:p>
        </w:tc>
      </w:tr>
      <w:tr w:rsidR="00FB781C" w:rsidTr="00FB781C">
        <w:trPr>
          <w:trHeight w:val="860"/>
        </w:trPr>
        <w:tc>
          <w:tcPr>
            <w:tcW w:w="1695" w:type="dxa"/>
          </w:tcPr>
          <w:p w:rsidR="00FB781C" w:rsidRPr="00FB781C" w:rsidRDefault="00FB781C">
            <w:pPr>
              <w:pBdr>
                <w:top w:val="nil"/>
                <w:left w:val="nil"/>
                <w:bottom w:val="nil"/>
                <w:right w:val="nil"/>
                <w:between w:val="nil"/>
              </w:pBdr>
              <w:spacing w:before="60" w:after="60"/>
              <w:jc w:val="center"/>
              <w:rPr>
                <w:rFonts w:ascii="Arial" w:eastAsia="Arial" w:hAnsi="Arial"/>
                <w:i/>
                <w:color w:val="000000"/>
                <w:sz w:val="22"/>
                <w:highlight w:val="yellow"/>
              </w:rPr>
            </w:pPr>
            <w:r>
              <w:rPr>
                <w:rFonts w:ascii="Arial" w:eastAsia="Arial" w:hAnsi="Arial" w:cs="Arial"/>
                <w:i/>
                <w:sz w:val="22"/>
                <w:szCs w:val="22"/>
              </w:rPr>
              <w:t>9</w:t>
            </w:r>
            <w:r>
              <w:rPr>
                <w:rFonts w:ascii="Arial" w:eastAsia="Arial" w:hAnsi="Arial" w:cs="Arial"/>
                <w:i/>
                <w:color w:val="000000"/>
                <w:sz w:val="22"/>
                <w:szCs w:val="22"/>
              </w:rPr>
              <w:t>0</w:t>
            </w:r>
          </w:p>
        </w:tc>
        <w:tc>
          <w:tcPr>
            <w:tcW w:w="1830" w:type="dxa"/>
          </w:tcPr>
          <w:p w:rsidR="00FB781C" w:rsidRDefault="00FB781C">
            <w:pPr>
              <w:pBdr>
                <w:top w:val="nil"/>
                <w:left w:val="nil"/>
                <w:bottom w:val="nil"/>
                <w:right w:val="nil"/>
                <w:between w:val="nil"/>
              </w:pBdr>
              <w:spacing w:before="60" w:after="60"/>
              <w:jc w:val="center"/>
              <w:rPr>
                <w:rFonts w:ascii="Arial" w:eastAsia="Arial" w:hAnsi="Arial" w:cs="Arial"/>
                <w:i/>
                <w:color w:val="000000"/>
                <w:sz w:val="22"/>
                <w:szCs w:val="22"/>
                <w:highlight w:val="yellow"/>
              </w:rPr>
            </w:pPr>
            <w:r>
              <w:rPr>
                <w:rFonts w:ascii="Arial" w:eastAsia="Arial" w:hAnsi="Arial" w:cs="Arial"/>
                <w:i/>
                <w:sz w:val="22"/>
                <w:szCs w:val="22"/>
              </w:rPr>
              <w:t>1</w:t>
            </w:r>
            <w:r>
              <w:rPr>
                <w:rFonts w:ascii="Arial" w:eastAsia="Arial" w:hAnsi="Arial" w:cs="Arial"/>
                <w:i/>
                <w:color w:val="000000"/>
                <w:sz w:val="22"/>
                <w:szCs w:val="22"/>
              </w:rPr>
              <w:t>0</w:t>
            </w:r>
          </w:p>
        </w:tc>
        <w:tc>
          <w:tcPr>
            <w:tcW w:w="2730" w:type="dxa"/>
          </w:tcPr>
          <w:p w:rsidR="00FB781C" w:rsidRDefault="00FB781C">
            <w:pPr>
              <w:pBdr>
                <w:top w:val="nil"/>
                <w:left w:val="nil"/>
                <w:bottom w:val="nil"/>
                <w:right w:val="nil"/>
                <w:between w:val="nil"/>
              </w:pBdr>
              <w:spacing w:before="60" w:after="60"/>
              <w:jc w:val="center"/>
              <w:rPr>
                <w:rFonts w:ascii="Arial" w:eastAsia="Arial" w:hAnsi="Arial" w:cs="Arial"/>
                <w:i/>
                <w:color w:val="000000"/>
                <w:sz w:val="22"/>
                <w:szCs w:val="22"/>
                <w:highlight w:val="yellow"/>
              </w:rPr>
            </w:pPr>
            <w:r>
              <w:rPr>
                <w:rFonts w:ascii="Arial" w:eastAsia="Arial" w:hAnsi="Arial" w:cs="Arial"/>
                <w:i/>
                <w:color w:val="000000"/>
                <w:sz w:val="22"/>
                <w:szCs w:val="22"/>
              </w:rPr>
              <w:t>100</w:t>
            </w:r>
          </w:p>
        </w:tc>
      </w:tr>
    </w:tbl>
    <w:p w:rsidR="00E027CC" w:rsidRDefault="00E027CC">
      <w:pPr>
        <w:pStyle w:val="Heading2"/>
        <w:rPr>
          <w:sz w:val="22"/>
          <w:szCs w:val="22"/>
        </w:rPr>
      </w:pPr>
    </w:p>
    <w:p w:rsidR="00E027CC" w:rsidRDefault="00346DA8" w:rsidP="00FB781C">
      <w:pPr>
        <w:pStyle w:val="Heading2"/>
        <w:numPr>
          <w:ilvl w:val="1"/>
          <w:numId w:val="3"/>
        </w:numPr>
      </w:pPr>
      <w:r>
        <w:rPr>
          <w:b/>
          <w:sz w:val="22"/>
          <w:szCs w:val="22"/>
        </w:rPr>
        <w:t xml:space="preserve">Quality Evaluation Process </w:t>
      </w:r>
    </w:p>
    <w:p w:rsidR="00E027CC" w:rsidRDefault="00346DA8" w:rsidP="00FB781C">
      <w:pPr>
        <w:pStyle w:val="Heading3"/>
        <w:numPr>
          <w:ilvl w:val="2"/>
          <w:numId w:val="3"/>
        </w:numPr>
        <w:ind w:left="1700" w:hanging="735"/>
      </w:pPr>
      <w:r>
        <w:t xml:space="preserve">The evaluation of each response to Question A1 in the Award Questionnaire is assessed on a pass / fail basis. If you receive a fail for this question your Tender will be excluded from further participation in this procurement. </w:t>
      </w:r>
    </w:p>
    <w:p w:rsidR="00E027CC" w:rsidRDefault="00346DA8">
      <w:pPr>
        <w:pStyle w:val="Heading3"/>
        <w:numPr>
          <w:ilvl w:val="2"/>
          <w:numId w:val="3"/>
        </w:numPr>
        <w:ind w:left="1700" w:hanging="735"/>
      </w:pPr>
      <w:r>
        <w:t>Question A2a is for information only and will not be evaluated.</w:t>
      </w:r>
    </w:p>
    <w:p w:rsidR="00E027CC" w:rsidRDefault="00346DA8" w:rsidP="00FB781C">
      <w:pPr>
        <w:pStyle w:val="Heading3"/>
        <w:numPr>
          <w:ilvl w:val="2"/>
          <w:numId w:val="3"/>
        </w:numPr>
        <w:ind w:left="1700" w:hanging="735"/>
      </w:pPr>
      <w:r>
        <w:t>The evaluation of each response to the subsequent scored questions will be conducted in line with the evaluation criteria for the question.  Then it will be consensus checked in accordance with the Consensus Marking Procedure as set out in paragraph 8.2.</w:t>
      </w:r>
    </w:p>
    <w:p w:rsidR="00E027CC" w:rsidRDefault="00346DA8" w:rsidP="00FB781C">
      <w:pPr>
        <w:pStyle w:val="Heading3"/>
        <w:numPr>
          <w:ilvl w:val="2"/>
          <w:numId w:val="3"/>
        </w:numPr>
        <w:ind w:left="1700" w:hanging="735"/>
      </w:pPr>
      <w:r>
        <w:t>When the Consensus Marking Procedure has been completed, the mark awarded for each response to the Award Questionnaire will be converted into a percentage in accordance with the table below:</w:t>
      </w:r>
    </w:p>
    <w:tbl>
      <w:tblPr>
        <w:tblStyle w:val="a2"/>
        <w:tblW w:w="7478" w:type="dxa"/>
        <w:tblInd w:w="15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25"/>
        <w:gridCol w:w="5953"/>
      </w:tblGrid>
      <w:tr w:rsidR="00E027CC" w:rsidTr="00FB781C">
        <w:tc>
          <w:tcPr>
            <w:tcW w:w="1525" w:type="dxa"/>
            <w:shd w:val="clear" w:color="auto" w:fill="E0E0E0"/>
            <w:vAlign w:val="center"/>
          </w:tcPr>
          <w:p w:rsidR="00E027CC" w:rsidRDefault="00346DA8">
            <w:pPr>
              <w:pBdr>
                <w:top w:val="nil"/>
                <w:left w:val="nil"/>
                <w:bottom w:val="nil"/>
                <w:right w:val="nil"/>
                <w:between w:val="nil"/>
              </w:pBdr>
              <w:spacing w:before="60" w:after="60"/>
              <w:jc w:val="center"/>
              <w:rPr>
                <w:rFonts w:ascii="Arial" w:eastAsia="Arial" w:hAnsi="Arial" w:cs="Arial"/>
                <w:b/>
                <w:color w:val="000000"/>
                <w:sz w:val="22"/>
                <w:szCs w:val="22"/>
              </w:rPr>
            </w:pPr>
            <w:r>
              <w:rPr>
                <w:rFonts w:ascii="Arial" w:eastAsia="Arial" w:hAnsi="Arial" w:cs="Arial"/>
                <w:b/>
                <w:color w:val="000000"/>
                <w:sz w:val="22"/>
                <w:szCs w:val="22"/>
              </w:rPr>
              <w:t>MARK</w:t>
            </w:r>
          </w:p>
        </w:tc>
        <w:tc>
          <w:tcPr>
            <w:tcW w:w="5953" w:type="dxa"/>
            <w:shd w:val="clear" w:color="auto" w:fill="E0E0E0"/>
          </w:tcPr>
          <w:p w:rsidR="00E027CC" w:rsidRDefault="00346DA8">
            <w:pPr>
              <w:pBdr>
                <w:top w:val="nil"/>
                <w:left w:val="nil"/>
                <w:bottom w:val="nil"/>
                <w:right w:val="nil"/>
                <w:between w:val="nil"/>
              </w:pBdr>
              <w:spacing w:before="60" w:after="60"/>
              <w:rPr>
                <w:rFonts w:ascii="Arial" w:eastAsia="Arial" w:hAnsi="Arial" w:cs="Arial"/>
                <w:b/>
                <w:color w:val="000000"/>
                <w:sz w:val="22"/>
                <w:szCs w:val="22"/>
              </w:rPr>
            </w:pPr>
            <w:r>
              <w:rPr>
                <w:rFonts w:ascii="Arial" w:eastAsia="Arial" w:hAnsi="Arial" w:cs="Arial"/>
                <w:b/>
                <w:color w:val="000000"/>
                <w:sz w:val="22"/>
                <w:szCs w:val="22"/>
              </w:rPr>
              <w:t>PERCENTAGE OF THE MAXIMUM SCORE AVAILABLE</w:t>
            </w:r>
          </w:p>
        </w:tc>
      </w:tr>
      <w:tr w:rsidR="00E027CC" w:rsidTr="00FB781C">
        <w:tc>
          <w:tcPr>
            <w:tcW w:w="1525" w:type="dxa"/>
            <w:vAlign w:val="center"/>
          </w:tcPr>
          <w:p w:rsidR="00E027CC" w:rsidRDefault="00346DA8">
            <w:pPr>
              <w:pBdr>
                <w:top w:val="nil"/>
                <w:left w:val="nil"/>
                <w:bottom w:val="nil"/>
                <w:right w:val="nil"/>
                <w:between w:val="nil"/>
              </w:pBdr>
              <w:spacing w:before="60" w:after="60"/>
              <w:jc w:val="center"/>
              <w:rPr>
                <w:rFonts w:ascii="Arial" w:eastAsia="Arial" w:hAnsi="Arial" w:cs="Arial"/>
                <w:color w:val="000000"/>
                <w:sz w:val="22"/>
                <w:szCs w:val="22"/>
              </w:rPr>
            </w:pPr>
            <w:r>
              <w:rPr>
                <w:rFonts w:ascii="Arial" w:eastAsia="Arial" w:hAnsi="Arial" w:cs="Arial"/>
                <w:color w:val="000000"/>
                <w:sz w:val="22"/>
                <w:szCs w:val="22"/>
              </w:rPr>
              <w:t>0</w:t>
            </w:r>
            <w:r>
              <w:rPr>
                <w:rFonts w:ascii="Arial" w:eastAsia="Arial" w:hAnsi="Arial" w:cs="Arial"/>
                <w:sz w:val="22"/>
                <w:szCs w:val="22"/>
              </w:rPr>
              <w:t xml:space="preserve"> (fail)</w:t>
            </w:r>
          </w:p>
        </w:tc>
        <w:tc>
          <w:tcPr>
            <w:tcW w:w="5953" w:type="dxa"/>
          </w:tcPr>
          <w:p w:rsidR="00E027CC" w:rsidRDefault="00346DA8">
            <w:pPr>
              <w:pBdr>
                <w:top w:val="nil"/>
                <w:left w:val="nil"/>
                <w:bottom w:val="nil"/>
                <w:right w:val="nil"/>
                <w:between w:val="nil"/>
              </w:pBdr>
              <w:spacing w:before="60" w:after="60"/>
              <w:rPr>
                <w:rFonts w:ascii="Arial" w:eastAsia="Arial" w:hAnsi="Arial" w:cs="Arial"/>
                <w:color w:val="000000"/>
                <w:sz w:val="22"/>
                <w:szCs w:val="22"/>
              </w:rPr>
            </w:pPr>
            <w:r>
              <w:rPr>
                <w:rFonts w:ascii="Arial" w:eastAsia="Arial" w:hAnsi="Arial" w:cs="Arial"/>
                <w:sz w:val="22"/>
                <w:szCs w:val="22"/>
              </w:rPr>
              <w:t>Achieving a score of 0 will result in your Tender being excluded from the Procurement.</w:t>
            </w:r>
          </w:p>
        </w:tc>
      </w:tr>
      <w:tr w:rsidR="00E027CC" w:rsidTr="00FB781C">
        <w:tc>
          <w:tcPr>
            <w:tcW w:w="1525" w:type="dxa"/>
            <w:vAlign w:val="center"/>
          </w:tcPr>
          <w:p w:rsidR="00E027CC" w:rsidRDefault="00346DA8">
            <w:pPr>
              <w:pBdr>
                <w:top w:val="nil"/>
                <w:left w:val="nil"/>
                <w:bottom w:val="nil"/>
                <w:right w:val="nil"/>
                <w:between w:val="nil"/>
              </w:pBdr>
              <w:spacing w:before="60" w:after="60"/>
              <w:jc w:val="center"/>
              <w:rPr>
                <w:rFonts w:ascii="Arial" w:eastAsia="Arial" w:hAnsi="Arial" w:cs="Arial"/>
                <w:color w:val="000000"/>
                <w:sz w:val="22"/>
                <w:szCs w:val="22"/>
              </w:rPr>
            </w:pPr>
            <w:r>
              <w:rPr>
                <w:rFonts w:ascii="Arial" w:eastAsia="Arial" w:hAnsi="Arial" w:cs="Arial"/>
                <w:color w:val="000000"/>
                <w:sz w:val="22"/>
                <w:szCs w:val="22"/>
              </w:rPr>
              <w:t>25</w:t>
            </w:r>
          </w:p>
        </w:tc>
        <w:tc>
          <w:tcPr>
            <w:tcW w:w="5953" w:type="dxa"/>
          </w:tcPr>
          <w:p w:rsidR="00E027CC" w:rsidRDefault="00346DA8">
            <w:pPr>
              <w:pBdr>
                <w:top w:val="nil"/>
                <w:left w:val="nil"/>
                <w:bottom w:val="nil"/>
                <w:right w:val="nil"/>
                <w:between w:val="nil"/>
              </w:pBdr>
              <w:spacing w:before="60" w:after="60"/>
              <w:rPr>
                <w:rFonts w:ascii="Arial" w:eastAsia="Arial" w:hAnsi="Arial" w:cs="Arial"/>
                <w:color w:val="000000"/>
                <w:sz w:val="22"/>
                <w:szCs w:val="22"/>
              </w:rPr>
            </w:pPr>
            <w:r>
              <w:rPr>
                <w:rFonts w:ascii="Arial" w:eastAsia="Arial" w:hAnsi="Arial" w:cs="Arial"/>
                <w:color w:val="000000"/>
                <w:sz w:val="22"/>
                <w:szCs w:val="22"/>
              </w:rPr>
              <w:t xml:space="preserve">25% of the Maximum </w:t>
            </w:r>
            <w:r>
              <w:rPr>
                <w:rFonts w:ascii="Arial" w:eastAsia="Arial" w:hAnsi="Arial" w:cs="Arial"/>
                <w:sz w:val="22"/>
                <w:szCs w:val="22"/>
              </w:rPr>
              <w:t>m</w:t>
            </w:r>
            <w:r>
              <w:rPr>
                <w:rFonts w:ascii="Arial" w:eastAsia="Arial" w:hAnsi="Arial" w:cs="Arial"/>
                <w:color w:val="000000"/>
                <w:sz w:val="22"/>
                <w:szCs w:val="22"/>
              </w:rPr>
              <w:t xml:space="preserve">ark </w:t>
            </w:r>
            <w:r>
              <w:rPr>
                <w:rFonts w:ascii="Arial" w:eastAsia="Arial" w:hAnsi="Arial" w:cs="Arial"/>
                <w:sz w:val="22"/>
                <w:szCs w:val="22"/>
              </w:rPr>
              <w:t>a</w:t>
            </w:r>
            <w:r>
              <w:rPr>
                <w:rFonts w:ascii="Arial" w:eastAsia="Arial" w:hAnsi="Arial" w:cs="Arial"/>
                <w:color w:val="000000"/>
                <w:sz w:val="22"/>
                <w:szCs w:val="22"/>
              </w:rPr>
              <w:t>vailable for the question</w:t>
            </w:r>
          </w:p>
        </w:tc>
      </w:tr>
      <w:tr w:rsidR="00E027CC" w:rsidTr="00FB781C">
        <w:tc>
          <w:tcPr>
            <w:tcW w:w="1525" w:type="dxa"/>
            <w:vAlign w:val="center"/>
          </w:tcPr>
          <w:p w:rsidR="00E027CC" w:rsidRDefault="00346DA8">
            <w:pPr>
              <w:pBdr>
                <w:top w:val="nil"/>
                <w:left w:val="nil"/>
                <w:bottom w:val="nil"/>
                <w:right w:val="nil"/>
                <w:between w:val="nil"/>
              </w:pBdr>
              <w:spacing w:before="60" w:after="60"/>
              <w:jc w:val="center"/>
              <w:rPr>
                <w:rFonts w:ascii="Arial" w:eastAsia="Arial" w:hAnsi="Arial" w:cs="Arial"/>
                <w:color w:val="000000"/>
                <w:sz w:val="22"/>
                <w:szCs w:val="22"/>
              </w:rPr>
            </w:pPr>
            <w:r>
              <w:rPr>
                <w:rFonts w:ascii="Arial" w:eastAsia="Arial" w:hAnsi="Arial" w:cs="Arial"/>
                <w:color w:val="000000"/>
                <w:sz w:val="22"/>
                <w:szCs w:val="22"/>
              </w:rPr>
              <w:t>50</w:t>
            </w:r>
          </w:p>
        </w:tc>
        <w:tc>
          <w:tcPr>
            <w:tcW w:w="5953" w:type="dxa"/>
          </w:tcPr>
          <w:p w:rsidR="00E027CC" w:rsidRDefault="00346DA8">
            <w:pPr>
              <w:pBdr>
                <w:top w:val="nil"/>
                <w:left w:val="nil"/>
                <w:bottom w:val="nil"/>
                <w:right w:val="nil"/>
                <w:between w:val="nil"/>
              </w:pBdr>
              <w:spacing w:before="60" w:after="60"/>
              <w:rPr>
                <w:rFonts w:ascii="Arial" w:eastAsia="Arial" w:hAnsi="Arial" w:cs="Arial"/>
                <w:color w:val="000000"/>
                <w:sz w:val="22"/>
                <w:szCs w:val="22"/>
              </w:rPr>
            </w:pPr>
            <w:r>
              <w:rPr>
                <w:rFonts w:ascii="Arial" w:eastAsia="Arial" w:hAnsi="Arial" w:cs="Arial"/>
                <w:color w:val="000000"/>
                <w:sz w:val="22"/>
                <w:szCs w:val="22"/>
              </w:rPr>
              <w:t xml:space="preserve">50% of the Maximum </w:t>
            </w:r>
            <w:r>
              <w:rPr>
                <w:rFonts w:ascii="Arial" w:eastAsia="Arial" w:hAnsi="Arial" w:cs="Arial"/>
                <w:sz w:val="22"/>
                <w:szCs w:val="22"/>
              </w:rPr>
              <w:t>m</w:t>
            </w:r>
            <w:r>
              <w:rPr>
                <w:rFonts w:ascii="Arial" w:eastAsia="Arial" w:hAnsi="Arial" w:cs="Arial"/>
                <w:color w:val="000000"/>
                <w:sz w:val="22"/>
                <w:szCs w:val="22"/>
              </w:rPr>
              <w:t xml:space="preserve">ark </w:t>
            </w:r>
            <w:r>
              <w:rPr>
                <w:rFonts w:ascii="Arial" w:eastAsia="Arial" w:hAnsi="Arial" w:cs="Arial"/>
                <w:sz w:val="22"/>
                <w:szCs w:val="22"/>
              </w:rPr>
              <w:t>a</w:t>
            </w:r>
            <w:r>
              <w:rPr>
                <w:rFonts w:ascii="Arial" w:eastAsia="Arial" w:hAnsi="Arial" w:cs="Arial"/>
                <w:color w:val="000000"/>
                <w:sz w:val="22"/>
                <w:szCs w:val="22"/>
              </w:rPr>
              <w:t>vailable for the question</w:t>
            </w:r>
          </w:p>
        </w:tc>
      </w:tr>
      <w:tr w:rsidR="00E027CC" w:rsidTr="00FB781C">
        <w:tc>
          <w:tcPr>
            <w:tcW w:w="1525" w:type="dxa"/>
            <w:vAlign w:val="center"/>
          </w:tcPr>
          <w:p w:rsidR="00E027CC" w:rsidRDefault="00346DA8">
            <w:pPr>
              <w:pBdr>
                <w:top w:val="nil"/>
                <w:left w:val="nil"/>
                <w:bottom w:val="nil"/>
                <w:right w:val="nil"/>
                <w:between w:val="nil"/>
              </w:pBdr>
              <w:spacing w:before="60" w:after="60"/>
              <w:jc w:val="center"/>
              <w:rPr>
                <w:rFonts w:ascii="Arial" w:eastAsia="Arial" w:hAnsi="Arial" w:cs="Arial"/>
                <w:color w:val="000000"/>
                <w:sz w:val="22"/>
                <w:szCs w:val="22"/>
              </w:rPr>
            </w:pPr>
            <w:r>
              <w:rPr>
                <w:rFonts w:ascii="Arial" w:eastAsia="Arial" w:hAnsi="Arial" w:cs="Arial"/>
                <w:color w:val="000000"/>
                <w:sz w:val="22"/>
                <w:szCs w:val="22"/>
              </w:rPr>
              <w:t>75</w:t>
            </w:r>
          </w:p>
        </w:tc>
        <w:tc>
          <w:tcPr>
            <w:tcW w:w="5953" w:type="dxa"/>
          </w:tcPr>
          <w:p w:rsidR="00E027CC" w:rsidRDefault="00346DA8">
            <w:pPr>
              <w:pBdr>
                <w:top w:val="nil"/>
                <w:left w:val="nil"/>
                <w:bottom w:val="nil"/>
                <w:right w:val="nil"/>
                <w:between w:val="nil"/>
              </w:pBdr>
              <w:spacing w:before="60" w:after="60"/>
              <w:rPr>
                <w:rFonts w:ascii="Arial" w:eastAsia="Arial" w:hAnsi="Arial" w:cs="Arial"/>
                <w:color w:val="000000"/>
                <w:sz w:val="22"/>
                <w:szCs w:val="22"/>
              </w:rPr>
            </w:pPr>
            <w:r>
              <w:rPr>
                <w:rFonts w:ascii="Arial" w:eastAsia="Arial" w:hAnsi="Arial" w:cs="Arial"/>
                <w:color w:val="000000"/>
                <w:sz w:val="22"/>
                <w:szCs w:val="22"/>
              </w:rPr>
              <w:t xml:space="preserve">75% of the Maximum </w:t>
            </w:r>
            <w:r>
              <w:rPr>
                <w:rFonts w:ascii="Arial" w:eastAsia="Arial" w:hAnsi="Arial" w:cs="Arial"/>
                <w:sz w:val="22"/>
                <w:szCs w:val="22"/>
              </w:rPr>
              <w:t>m</w:t>
            </w:r>
            <w:r>
              <w:rPr>
                <w:rFonts w:ascii="Arial" w:eastAsia="Arial" w:hAnsi="Arial" w:cs="Arial"/>
                <w:color w:val="000000"/>
                <w:sz w:val="22"/>
                <w:szCs w:val="22"/>
              </w:rPr>
              <w:t xml:space="preserve">ark </w:t>
            </w:r>
            <w:r>
              <w:rPr>
                <w:rFonts w:ascii="Arial" w:eastAsia="Arial" w:hAnsi="Arial" w:cs="Arial"/>
                <w:sz w:val="22"/>
                <w:szCs w:val="22"/>
              </w:rPr>
              <w:t>a</w:t>
            </w:r>
            <w:r>
              <w:rPr>
                <w:rFonts w:ascii="Arial" w:eastAsia="Arial" w:hAnsi="Arial" w:cs="Arial"/>
                <w:color w:val="000000"/>
                <w:sz w:val="22"/>
                <w:szCs w:val="22"/>
              </w:rPr>
              <w:t>vailable for the question</w:t>
            </w:r>
          </w:p>
        </w:tc>
      </w:tr>
      <w:tr w:rsidR="00E027CC" w:rsidTr="00FB781C">
        <w:tc>
          <w:tcPr>
            <w:tcW w:w="1525" w:type="dxa"/>
            <w:vAlign w:val="center"/>
          </w:tcPr>
          <w:p w:rsidR="00E027CC" w:rsidRDefault="00346DA8">
            <w:pPr>
              <w:pBdr>
                <w:top w:val="nil"/>
                <w:left w:val="nil"/>
                <w:bottom w:val="nil"/>
                <w:right w:val="nil"/>
                <w:between w:val="nil"/>
              </w:pBdr>
              <w:spacing w:before="60" w:after="60"/>
              <w:jc w:val="center"/>
              <w:rPr>
                <w:rFonts w:ascii="Arial" w:eastAsia="Arial" w:hAnsi="Arial" w:cs="Arial"/>
                <w:color w:val="000000"/>
                <w:sz w:val="22"/>
                <w:szCs w:val="22"/>
              </w:rPr>
            </w:pPr>
            <w:r>
              <w:rPr>
                <w:rFonts w:ascii="Arial" w:eastAsia="Arial" w:hAnsi="Arial" w:cs="Arial"/>
                <w:color w:val="000000"/>
                <w:sz w:val="22"/>
                <w:szCs w:val="22"/>
              </w:rPr>
              <w:t>100</w:t>
            </w:r>
          </w:p>
        </w:tc>
        <w:tc>
          <w:tcPr>
            <w:tcW w:w="5953" w:type="dxa"/>
          </w:tcPr>
          <w:p w:rsidR="00E027CC" w:rsidRDefault="00346DA8">
            <w:pPr>
              <w:pBdr>
                <w:top w:val="nil"/>
                <w:left w:val="nil"/>
                <w:bottom w:val="nil"/>
                <w:right w:val="nil"/>
                <w:between w:val="nil"/>
              </w:pBdr>
              <w:spacing w:before="60" w:after="60"/>
              <w:rPr>
                <w:rFonts w:ascii="Arial" w:eastAsia="Arial" w:hAnsi="Arial" w:cs="Arial"/>
                <w:color w:val="000000"/>
                <w:sz w:val="22"/>
                <w:szCs w:val="22"/>
              </w:rPr>
            </w:pPr>
            <w:r>
              <w:rPr>
                <w:rFonts w:ascii="Arial" w:eastAsia="Arial" w:hAnsi="Arial" w:cs="Arial"/>
                <w:color w:val="000000"/>
                <w:sz w:val="22"/>
                <w:szCs w:val="22"/>
              </w:rPr>
              <w:t xml:space="preserve">100% of the Maximum </w:t>
            </w:r>
            <w:r>
              <w:rPr>
                <w:rFonts w:ascii="Arial" w:eastAsia="Arial" w:hAnsi="Arial" w:cs="Arial"/>
                <w:sz w:val="22"/>
                <w:szCs w:val="22"/>
              </w:rPr>
              <w:t>m</w:t>
            </w:r>
            <w:r>
              <w:rPr>
                <w:rFonts w:ascii="Arial" w:eastAsia="Arial" w:hAnsi="Arial" w:cs="Arial"/>
                <w:color w:val="000000"/>
                <w:sz w:val="22"/>
                <w:szCs w:val="22"/>
              </w:rPr>
              <w:t xml:space="preserve">ark </w:t>
            </w:r>
            <w:r>
              <w:rPr>
                <w:rFonts w:ascii="Arial" w:eastAsia="Arial" w:hAnsi="Arial" w:cs="Arial"/>
                <w:sz w:val="22"/>
                <w:szCs w:val="22"/>
              </w:rPr>
              <w:t>a</w:t>
            </w:r>
            <w:r>
              <w:rPr>
                <w:rFonts w:ascii="Arial" w:eastAsia="Arial" w:hAnsi="Arial" w:cs="Arial"/>
                <w:color w:val="000000"/>
                <w:sz w:val="22"/>
                <w:szCs w:val="22"/>
              </w:rPr>
              <w:t>vailable for the question</w:t>
            </w:r>
          </w:p>
        </w:tc>
      </w:tr>
    </w:tbl>
    <w:p w:rsidR="00E027CC" w:rsidRDefault="00E027CC">
      <w:pPr>
        <w:pBdr>
          <w:top w:val="nil"/>
          <w:left w:val="nil"/>
          <w:bottom w:val="nil"/>
          <w:right w:val="nil"/>
          <w:between w:val="nil"/>
        </w:pBdr>
        <w:spacing w:after="120"/>
        <w:ind w:hanging="283"/>
        <w:rPr>
          <w:rFonts w:ascii="Arial" w:eastAsia="Arial" w:hAnsi="Arial" w:cs="Arial"/>
          <w:b/>
          <w:i/>
          <w:color w:val="000000"/>
          <w:highlight w:val="green"/>
        </w:rPr>
      </w:pPr>
    </w:p>
    <w:p w:rsidR="00E027CC" w:rsidRDefault="00346DA8" w:rsidP="00FB781C">
      <w:pPr>
        <w:pStyle w:val="Heading3"/>
        <w:numPr>
          <w:ilvl w:val="2"/>
          <w:numId w:val="3"/>
        </w:numPr>
        <w:ind w:left="1700" w:hanging="735"/>
      </w:pPr>
      <w:r>
        <w:t xml:space="preserve">If a Potential Provider is awarded a mark of zero (0) for any of the scored questions the Potential Provider will be deemed as having failed in this </w:t>
      </w:r>
      <w:r>
        <w:lastRenderedPageBreak/>
        <w:t xml:space="preserve">Procurement and the Tender will be excluded from further participation in this Procurement. </w:t>
      </w:r>
    </w:p>
    <w:p w:rsidR="00E027CC" w:rsidRDefault="00346DA8" w:rsidP="00FB781C">
      <w:pPr>
        <w:pStyle w:val="Heading3"/>
        <w:numPr>
          <w:ilvl w:val="2"/>
          <w:numId w:val="3"/>
        </w:numPr>
        <w:ind w:left="1700" w:hanging="735"/>
      </w:pPr>
      <w:bookmarkStart w:id="43" w:name="_2u6wntf" w:colFirst="0" w:colLast="0"/>
      <w:bookmarkEnd w:id="43"/>
      <w:r>
        <w:t>When the score for each question has been determined, question weightings will be applied to those scores. Then they will be added together to determine an overall score for the Quality Evaluation (“</w:t>
      </w:r>
      <w:r>
        <w:rPr>
          <w:b/>
        </w:rPr>
        <w:t>Quality Score</w:t>
      </w:r>
      <w:r>
        <w:t>”).  This score will be out of a maximum of 90 marks.</w:t>
      </w:r>
    </w:p>
    <w:p w:rsidR="00E027CC" w:rsidRDefault="00346DA8" w:rsidP="00FB781C">
      <w:pPr>
        <w:pStyle w:val="Heading3"/>
        <w:numPr>
          <w:ilvl w:val="2"/>
          <w:numId w:val="3"/>
        </w:numPr>
        <w:pBdr>
          <w:top w:val="nil"/>
          <w:left w:val="nil"/>
          <w:bottom w:val="nil"/>
          <w:right w:val="nil"/>
          <w:between w:val="nil"/>
        </w:pBdr>
        <w:ind w:left="1700" w:hanging="735"/>
      </w:pPr>
      <w:r>
        <w:t xml:space="preserve">To proceed to the next stage of the evaluation, Potential Providers must: </w:t>
      </w:r>
    </w:p>
    <w:p w:rsidR="00E027CC" w:rsidRDefault="00346DA8" w:rsidP="00FB781C">
      <w:pPr>
        <w:pStyle w:val="Heading4"/>
        <w:numPr>
          <w:ilvl w:val="0"/>
          <w:numId w:val="6"/>
        </w:numPr>
        <w:pBdr>
          <w:top w:val="nil"/>
          <w:left w:val="nil"/>
          <w:bottom w:val="nil"/>
          <w:right w:val="nil"/>
          <w:between w:val="nil"/>
        </w:pBdr>
      </w:pPr>
      <w:proofErr w:type="gramStart"/>
      <w:r>
        <w:t>achieve</w:t>
      </w:r>
      <w:proofErr w:type="gramEnd"/>
      <w:r>
        <w:t xml:space="preserve"> a pass for question A1; and; </w:t>
      </w:r>
    </w:p>
    <w:p w:rsidR="00E027CC" w:rsidRDefault="00346DA8" w:rsidP="00FB781C">
      <w:pPr>
        <w:pStyle w:val="Heading4"/>
        <w:numPr>
          <w:ilvl w:val="0"/>
          <w:numId w:val="6"/>
        </w:numPr>
        <w:pBdr>
          <w:top w:val="nil"/>
          <w:left w:val="nil"/>
          <w:bottom w:val="nil"/>
          <w:right w:val="nil"/>
          <w:between w:val="nil"/>
        </w:pBdr>
      </w:pPr>
      <w:proofErr w:type="gramStart"/>
      <w:r>
        <w:t>achieve</w:t>
      </w:r>
      <w:proofErr w:type="gramEnd"/>
      <w:r>
        <w:t xml:space="preserve"> a score of</w:t>
      </w:r>
      <w:r w:rsidRPr="00FB781C">
        <w:t xml:space="preserve"> </w:t>
      </w:r>
      <w:r>
        <w:t>25 or higher for their responses to questions A2b-A6;</w:t>
      </w:r>
      <w:r w:rsidRPr="00FB781C">
        <w:t xml:space="preserve"> and</w:t>
      </w:r>
    </w:p>
    <w:p w:rsidR="00E027CC" w:rsidRDefault="00346DA8" w:rsidP="00FB781C">
      <w:pPr>
        <w:pStyle w:val="Heading4"/>
        <w:numPr>
          <w:ilvl w:val="0"/>
          <w:numId w:val="6"/>
        </w:numPr>
        <w:pBdr>
          <w:top w:val="nil"/>
          <w:left w:val="nil"/>
          <w:bottom w:val="nil"/>
          <w:right w:val="nil"/>
          <w:between w:val="nil"/>
        </w:pBdr>
      </w:pPr>
      <w:proofErr w:type="gramStart"/>
      <w:r>
        <w:t>achieve</w:t>
      </w:r>
      <w:proofErr w:type="gramEnd"/>
      <w:r>
        <w:t xml:space="preserve"> or exceed the </w:t>
      </w:r>
      <w:r w:rsidRPr="00FB781C">
        <w:rPr>
          <w:b/>
        </w:rPr>
        <w:t>Minimum Quality Threshold</w:t>
      </w:r>
      <w:r>
        <w:t xml:space="preserve"> of </w:t>
      </w:r>
      <w:r>
        <w:rPr>
          <w:b/>
        </w:rPr>
        <w:t xml:space="preserve">57 </w:t>
      </w:r>
      <w:r>
        <w:t>(out of 90 possible marks)</w:t>
      </w:r>
      <w:r>
        <w:rPr>
          <w:b/>
        </w:rPr>
        <w:t>.</w:t>
      </w:r>
    </w:p>
    <w:p w:rsidR="00E027CC" w:rsidRDefault="00E027CC">
      <w:pPr>
        <w:pStyle w:val="Heading4"/>
        <w:tabs>
          <w:tab w:val="center" w:pos="4005"/>
        </w:tabs>
        <w:spacing w:after="0"/>
        <w:ind w:left="0" w:firstLine="0"/>
      </w:pPr>
    </w:p>
    <w:p w:rsidR="00E027CC" w:rsidRDefault="00E027CC">
      <w:pPr>
        <w:pStyle w:val="Heading4"/>
        <w:tabs>
          <w:tab w:val="center" w:pos="4005"/>
        </w:tabs>
        <w:spacing w:after="0"/>
        <w:ind w:left="2685"/>
      </w:pPr>
    </w:p>
    <w:p w:rsidR="00E027CC" w:rsidRDefault="00346DA8" w:rsidP="00FB781C">
      <w:pPr>
        <w:pStyle w:val="Heading3"/>
        <w:numPr>
          <w:ilvl w:val="2"/>
          <w:numId w:val="3"/>
        </w:numPr>
        <w:ind w:left="1700" w:hanging="735"/>
      </w:pPr>
      <w:r>
        <w:t xml:space="preserve">Potential Providers will be deemed as having failed and their Tender will be excluded from further participation in this Procurement and will be notified accordingly where; </w:t>
      </w:r>
    </w:p>
    <w:p w:rsidR="00E027CC" w:rsidRDefault="00346DA8" w:rsidP="00FB781C">
      <w:pPr>
        <w:pStyle w:val="Heading4"/>
        <w:numPr>
          <w:ilvl w:val="0"/>
          <w:numId w:val="6"/>
        </w:numPr>
      </w:pPr>
      <w:proofErr w:type="gramStart"/>
      <w:r>
        <w:t>they</w:t>
      </w:r>
      <w:proofErr w:type="gramEnd"/>
      <w:r>
        <w:t xml:space="preserve"> achieve a ‘fail’ for the question A1 and/or;  </w:t>
      </w:r>
    </w:p>
    <w:p w:rsidR="00E027CC" w:rsidRDefault="00346DA8" w:rsidP="00FB781C">
      <w:pPr>
        <w:pStyle w:val="Heading4"/>
        <w:numPr>
          <w:ilvl w:val="0"/>
          <w:numId w:val="6"/>
        </w:numPr>
      </w:pPr>
      <w:proofErr w:type="gramStart"/>
      <w:r>
        <w:t>achieve</w:t>
      </w:r>
      <w:proofErr w:type="gramEnd"/>
      <w:r>
        <w:t xml:space="preserve"> a mark of zero (0) for one or more questions; and/or </w:t>
      </w:r>
    </w:p>
    <w:p w:rsidR="00E027CC" w:rsidRDefault="00346DA8" w:rsidP="00FB781C">
      <w:pPr>
        <w:pStyle w:val="Heading4"/>
        <w:numPr>
          <w:ilvl w:val="0"/>
          <w:numId w:val="6"/>
        </w:numPr>
      </w:pPr>
      <w:proofErr w:type="gramStart"/>
      <w:r>
        <w:t>they</w:t>
      </w:r>
      <w:proofErr w:type="gramEnd"/>
      <w:r>
        <w:t xml:space="preserve"> do not meet or exceed the </w:t>
      </w:r>
      <w:r w:rsidRPr="00FB781C">
        <w:rPr>
          <w:b/>
        </w:rPr>
        <w:t>Minimum Quality Threshold</w:t>
      </w:r>
      <w:r>
        <w:t xml:space="preserve"> as set out in paragraph</w:t>
      </w:r>
      <w:r w:rsidRPr="00FB781C">
        <w:t xml:space="preserve"> 11.5.</w:t>
      </w:r>
      <w:r>
        <w:t>7</w:t>
      </w:r>
      <w:r w:rsidRPr="00FB781C">
        <w:t xml:space="preserve"> a</w:t>
      </w:r>
      <w:r>
        <w:t>bove.</w:t>
      </w:r>
    </w:p>
    <w:p w:rsidR="00E027CC" w:rsidRDefault="00E027CC">
      <w:pPr>
        <w:pStyle w:val="Heading4"/>
        <w:ind w:left="2194"/>
      </w:pPr>
    </w:p>
    <w:p w:rsidR="00E027CC" w:rsidRDefault="00346DA8" w:rsidP="00FB781C">
      <w:pPr>
        <w:pStyle w:val="Heading3"/>
        <w:numPr>
          <w:ilvl w:val="2"/>
          <w:numId w:val="3"/>
        </w:numPr>
        <w:ind w:left="1588" w:hanging="851"/>
      </w:pPr>
      <w:bookmarkStart w:id="44" w:name="_gk6cc6to8u0q" w:colFirst="0" w:colLast="0"/>
      <w:bookmarkStart w:id="45" w:name="_19c6y18"/>
      <w:bookmarkEnd w:id="44"/>
      <w:bookmarkEnd w:id="45"/>
      <w:r>
        <w:t>An overview</w:t>
      </w:r>
      <w:r w:rsidRPr="00FB781C">
        <w:t xml:space="preserve"> of Quality Evaluation Criteria and Weightings</w:t>
      </w:r>
      <w:r>
        <w:t xml:space="preserve"> can be found</w:t>
      </w:r>
      <w:r w:rsidR="00C62031">
        <w:t xml:space="preserve"> </w:t>
      </w:r>
      <w:r>
        <w:t xml:space="preserve">in Attachment 3 - Award Questionnaire </w:t>
      </w:r>
    </w:p>
    <w:p w:rsidR="00E027CC" w:rsidRDefault="00346DA8" w:rsidP="00FB781C">
      <w:pPr>
        <w:pStyle w:val="Heading2"/>
        <w:numPr>
          <w:ilvl w:val="1"/>
          <w:numId w:val="3"/>
        </w:numPr>
        <w:pBdr>
          <w:top w:val="nil"/>
          <w:left w:val="nil"/>
          <w:bottom w:val="nil"/>
          <w:right w:val="nil"/>
          <w:between w:val="nil"/>
        </w:pBdr>
      </w:pPr>
      <w:r>
        <w:rPr>
          <w:b/>
          <w:sz w:val="22"/>
          <w:szCs w:val="22"/>
        </w:rPr>
        <w:t>Price Evaluation</w:t>
      </w:r>
    </w:p>
    <w:p w:rsidR="00E027CC" w:rsidRDefault="00346DA8" w:rsidP="00FB781C">
      <w:pPr>
        <w:pStyle w:val="Heading3"/>
        <w:numPr>
          <w:ilvl w:val="2"/>
          <w:numId w:val="3"/>
        </w:numPr>
        <w:pBdr>
          <w:top w:val="nil"/>
          <w:left w:val="nil"/>
          <w:bottom w:val="nil"/>
          <w:right w:val="nil"/>
          <w:between w:val="nil"/>
        </w:pBdr>
        <w:ind w:left="1700" w:hanging="735"/>
      </w:pPr>
      <w:r>
        <w:t>The Price Evaluation weighting, as detailed in paragraph</w:t>
      </w:r>
      <w:r w:rsidRPr="00FB781C">
        <w:t xml:space="preserve"> 11.4</w:t>
      </w:r>
      <w:r>
        <w:t>, is 10%.</w:t>
      </w:r>
    </w:p>
    <w:p w:rsidR="00E027CC" w:rsidRDefault="00346DA8" w:rsidP="00FB781C">
      <w:pPr>
        <w:pStyle w:val="Heading3"/>
        <w:numPr>
          <w:ilvl w:val="2"/>
          <w:numId w:val="3"/>
        </w:numPr>
        <w:ind w:left="1700" w:hanging="735"/>
      </w:pPr>
      <w:bookmarkStart w:id="46" w:name="_qxks4i75mz6b"/>
      <w:bookmarkEnd w:id="46"/>
      <w:r>
        <w:t xml:space="preserve">The instructions in this Section 11.6 refer to </w:t>
      </w:r>
      <w:r w:rsidRPr="00FB781C">
        <w:t>Attachment 9</w:t>
      </w:r>
      <w:r>
        <w:t xml:space="preserve"> – Pricing Matrix. You must download Attachment 9 – Pricing Matrix from the ‘Attachments’ area of the e-Sourcing Suite and complete the relevant tab in accordance with the instructions in that Attachment. </w:t>
      </w:r>
    </w:p>
    <w:p w:rsidR="00E027CC" w:rsidRDefault="00346DA8" w:rsidP="00FB781C">
      <w:pPr>
        <w:pStyle w:val="Heading3"/>
        <w:numPr>
          <w:ilvl w:val="2"/>
          <w:numId w:val="3"/>
        </w:numPr>
        <w:ind w:left="1700" w:hanging="735"/>
      </w:pPr>
      <w:r>
        <w:t>You must re-name the file to include your organisation’s trading name as a suffix to the original file name provided e.g. [</w:t>
      </w:r>
      <w:proofErr w:type="spellStart"/>
      <w:r>
        <w:t>yourorganisationname_Attachment</w:t>
      </w:r>
      <w:proofErr w:type="spellEnd"/>
      <w:r>
        <w:t xml:space="preserve"> 9 Pricing Matrix].</w:t>
      </w:r>
    </w:p>
    <w:p w:rsidR="00E027CC" w:rsidRDefault="00346DA8" w:rsidP="00FB781C">
      <w:pPr>
        <w:pStyle w:val="Heading3"/>
        <w:numPr>
          <w:ilvl w:val="2"/>
          <w:numId w:val="3"/>
        </w:numPr>
        <w:ind w:left="1700" w:hanging="735"/>
      </w:pPr>
      <w:r>
        <w:t>You must upload the completed Attach</w:t>
      </w:r>
      <w:r w:rsidR="00C62031">
        <w:t>ment 9 – Pricing Matrix to the Commercial E</w:t>
      </w:r>
      <w:r>
        <w:t xml:space="preserve">nvelope question </w:t>
      </w:r>
      <w:r w:rsidRPr="00FB781C">
        <w:t>PQ1</w:t>
      </w:r>
      <w:r>
        <w:t xml:space="preserve"> in the e-Sourcing Suite. </w:t>
      </w:r>
    </w:p>
    <w:p w:rsidR="00E027CC" w:rsidRDefault="00346DA8" w:rsidP="00FB781C">
      <w:pPr>
        <w:pStyle w:val="Heading3"/>
        <w:numPr>
          <w:ilvl w:val="2"/>
          <w:numId w:val="3"/>
        </w:numPr>
        <w:ind w:left="1700" w:hanging="735"/>
      </w:pPr>
      <w:r>
        <w:t xml:space="preserve">Failure to upload and submit a relevant Attachment 9 – Pricing Matrix, may deem your Tender non-compliant. If your Tender is deemed non-compliant you may be excluded from further participation in this procurement. </w:t>
      </w:r>
    </w:p>
    <w:p w:rsidR="00E027CC" w:rsidRDefault="00346DA8" w:rsidP="00FB781C">
      <w:pPr>
        <w:pStyle w:val="Heading3"/>
        <w:numPr>
          <w:ilvl w:val="2"/>
          <w:numId w:val="3"/>
        </w:numPr>
        <w:ind w:left="1700" w:hanging="735"/>
      </w:pPr>
      <w:r>
        <w:t xml:space="preserve">You must follow the instructions tab on Attachment 9 - Pricing Matrix. Failure to follow the instructions may result in your Tender being deemed non-compliant and your Tender may be excluded from further participation in this Procurement. </w:t>
      </w:r>
    </w:p>
    <w:p w:rsidR="00E027CC" w:rsidRDefault="00346DA8" w:rsidP="00FB781C">
      <w:pPr>
        <w:pStyle w:val="Heading3"/>
        <w:numPr>
          <w:ilvl w:val="2"/>
          <w:numId w:val="3"/>
        </w:numPr>
        <w:ind w:left="1700" w:hanging="735"/>
      </w:pPr>
      <w:r>
        <w:t xml:space="preserve">You must not alter, amend or change the format or layout of Attachment 9 – Pricing Matrix. You must not insert or attach any notes or comments into any </w:t>
      </w:r>
      <w:r>
        <w:lastRenderedPageBreak/>
        <w:t>of the worksheets or upload a separate Attachment. Any such additional information will be disregarded by the Authority.</w:t>
      </w:r>
    </w:p>
    <w:p w:rsidR="00E027CC" w:rsidRDefault="00346DA8" w:rsidP="00FB781C">
      <w:pPr>
        <w:pStyle w:val="Heading3"/>
        <w:numPr>
          <w:ilvl w:val="2"/>
          <w:numId w:val="3"/>
        </w:numPr>
        <w:ind w:left="1700" w:hanging="735"/>
      </w:pPr>
      <w:r>
        <w:t xml:space="preserve">In the event that you are successful in this procurement the information provided in Attachment 9 – Pricing Matrix will be incorporated into </w:t>
      </w:r>
      <w:r w:rsidRPr="00FB781C">
        <w:t xml:space="preserve">Framework Schedule 3 </w:t>
      </w:r>
      <w:r>
        <w:t xml:space="preserve">(Framework Prices and Charging Structure). </w:t>
      </w:r>
    </w:p>
    <w:p w:rsidR="00E027CC" w:rsidRDefault="00346DA8" w:rsidP="00FB781C">
      <w:pPr>
        <w:pStyle w:val="Heading3"/>
        <w:numPr>
          <w:ilvl w:val="2"/>
          <w:numId w:val="3"/>
        </w:numPr>
        <w:pBdr>
          <w:top w:val="nil"/>
          <w:left w:val="nil"/>
          <w:bottom w:val="nil"/>
          <w:right w:val="nil"/>
          <w:between w:val="nil"/>
        </w:pBdr>
        <w:ind w:left="1700" w:hanging="735"/>
        <w:rPr>
          <w:b/>
        </w:rPr>
      </w:pPr>
      <w:r>
        <w:rPr>
          <w:b/>
        </w:rPr>
        <w:t xml:space="preserve">Abnormally Low Tenders </w:t>
      </w:r>
    </w:p>
    <w:p w:rsidR="00E027CC" w:rsidRDefault="00346DA8" w:rsidP="00FB781C">
      <w:pPr>
        <w:pStyle w:val="Heading4"/>
        <w:numPr>
          <w:ilvl w:val="3"/>
          <w:numId w:val="3"/>
        </w:numPr>
        <w:ind w:left="2438" w:hanging="964"/>
      </w:pPr>
      <w:r>
        <w:t xml:space="preserve">The Authority reserves the right to seek verification of any values that it deems to be unsustainable in respect of the delivery of the Goods and Services required.    </w:t>
      </w:r>
    </w:p>
    <w:p w:rsidR="00E027CC" w:rsidRDefault="00346DA8" w:rsidP="00FB781C">
      <w:pPr>
        <w:pStyle w:val="Heading4"/>
        <w:numPr>
          <w:ilvl w:val="3"/>
          <w:numId w:val="3"/>
        </w:numPr>
        <w:ind w:left="2438" w:hanging="964"/>
      </w:pPr>
      <w:proofErr w:type="gramStart"/>
      <w:r>
        <w:t>as</w:t>
      </w:r>
      <w:proofErr w:type="gramEnd"/>
      <w:r>
        <w:t xml:space="preserve"> part of the Price Evaluation process, if the Authority considers your Tender submission to be abnormally low, the Authority may reject your offer. In accordance with Regulation 69 the Authority will take the following steps: </w:t>
      </w:r>
    </w:p>
    <w:p w:rsidR="00E027CC" w:rsidRDefault="00346DA8" w:rsidP="00FB781C">
      <w:pPr>
        <w:numPr>
          <w:ilvl w:val="0"/>
          <w:numId w:val="7"/>
        </w:numPr>
        <w:pBdr>
          <w:top w:val="nil"/>
          <w:left w:val="nil"/>
          <w:bottom w:val="nil"/>
          <w:right w:val="nil"/>
          <w:between w:val="nil"/>
        </w:pBdr>
        <w:shd w:val="clear" w:color="auto" w:fill="FFFFFF"/>
        <w:spacing w:before="120" w:after="120" w:line="240" w:lineRule="auto"/>
        <w:rPr>
          <w:color w:val="222222"/>
        </w:rPr>
      </w:pPr>
      <w:r>
        <w:rPr>
          <w:rFonts w:ascii="Arial" w:eastAsia="Arial" w:hAnsi="Arial" w:cs="Arial"/>
          <w:color w:val="222222"/>
          <w:highlight w:val="white"/>
        </w:rPr>
        <w:t>To request in writing an explanation of the potential abnormally low Tender, which may include an explanation of:</w:t>
      </w:r>
      <w:r>
        <w:rPr>
          <w:rFonts w:ascii="Times New Roman" w:eastAsia="Times New Roman" w:hAnsi="Times New Roman" w:cs="Times New Roman"/>
          <w:color w:val="222222"/>
        </w:rPr>
        <w:t> </w:t>
      </w:r>
    </w:p>
    <w:p w:rsidR="00E027CC" w:rsidRDefault="00346DA8" w:rsidP="00FB781C">
      <w:pPr>
        <w:numPr>
          <w:ilvl w:val="0"/>
          <w:numId w:val="1"/>
        </w:numPr>
        <w:pBdr>
          <w:top w:val="nil"/>
          <w:left w:val="nil"/>
          <w:bottom w:val="nil"/>
          <w:right w:val="nil"/>
          <w:between w:val="nil"/>
        </w:pBdr>
        <w:shd w:val="clear" w:color="auto" w:fill="FFFFFF"/>
        <w:spacing w:before="120" w:after="120" w:line="240" w:lineRule="auto"/>
        <w:rPr>
          <w:color w:val="222222"/>
        </w:rPr>
      </w:pPr>
      <w:r>
        <w:rPr>
          <w:rFonts w:ascii="Arial" w:eastAsia="Arial" w:hAnsi="Arial" w:cs="Arial"/>
          <w:color w:val="222222"/>
        </w:rPr>
        <w:t>the economics of the Goods and Services provided; </w:t>
      </w:r>
    </w:p>
    <w:p w:rsidR="00E027CC" w:rsidRDefault="00346DA8" w:rsidP="00FB781C">
      <w:pPr>
        <w:numPr>
          <w:ilvl w:val="0"/>
          <w:numId w:val="1"/>
        </w:numPr>
        <w:pBdr>
          <w:top w:val="nil"/>
          <w:left w:val="nil"/>
          <w:bottom w:val="nil"/>
          <w:right w:val="nil"/>
          <w:between w:val="nil"/>
        </w:pBdr>
        <w:shd w:val="clear" w:color="auto" w:fill="FFFFFF"/>
        <w:spacing w:before="120" w:after="120" w:line="240" w:lineRule="auto"/>
        <w:rPr>
          <w:color w:val="222222"/>
        </w:rPr>
      </w:pPr>
      <w:r>
        <w:rPr>
          <w:rFonts w:ascii="Arial" w:eastAsia="Arial" w:hAnsi="Arial" w:cs="Arial"/>
          <w:color w:val="222222"/>
        </w:rPr>
        <w:t>the technical solutions suggested by you or the exceptionally  favourable conditions available to you for the provision of Goods and Services; </w:t>
      </w:r>
      <w:r>
        <w:rPr>
          <w:rFonts w:ascii="Times New Roman" w:eastAsia="Times New Roman" w:hAnsi="Times New Roman" w:cs="Times New Roman"/>
          <w:color w:val="222222"/>
        </w:rPr>
        <w:t> </w:t>
      </w:r>
    </w:p>
    <w:p w:rsidR="00E027CC" w:rsidRDefault="00346DA8" w:rsidP="00FB781C">
      <w:pPr>
        <w:numPr>
          <w:ilvl w:val="0"/>
          <w:numId w:val="1"/>
        </w:numPr>
        <w:pBdr>
          <w:top w:val="nil"/>
          <w:left w:val="nil"/>
          <w:bottom w:val="nil"/>
          <w:right w:val="nil"/>
          <w:between w:val="nil"/>
        </w:pBdr>
        <w:shd w:val="clear" w:color="auto" w:fill="FFFFFF"/>
        <w:spacing w:before="120" w:after="120" w:line="240" w:lineRule="auto"/>
        <w:rPr>
          <w:color w:val="222222"/>
        </w:rPr>
      </w:pPr>
      <w:r>
        <w:rPr>
          <w:rFonts w:ascii="Arial" w:eastAsia="Arial" w:hAnsi="Arial" w:cs="Arial"/>
          <w:color w:val="222222"/>
        </w:rPr>
        <w:t>the originality of the Goods and Services; </w:t>
      </w:r>
    </w:p>
    <w:p w:rsidR="00E027CC" w:rsidRDefault="00346DA8" w:rsidP="00FB781C">
      <w:pPr>
        <w:numPr>
          <w:ilvl w:val="0"/>
          <w:numId w:val="1"/>
        </w:numPr>
        <w:pBdr>
          <w:top w:val="nil"/>
          <w:left w:val="nil"/>
          <w:bottom w:val="nil"/>
          <w:right w:val="nil"/>
          <w:between w:val="nil"/>
        </w:pBdr>
        <w:shd w:val="clear" w:color="auto" w:fill="FFFFFF"/>
        <w:spacing w:before="120" w:after="120" w:line="240" w:lineRule="auto"/>
        <w:rPr>
          <w:color w:val="222222"/>
        </w:rPr>
      </w:pPr>
      <w:r>
        <w:rPr>
          <w:rFonts w:ascii="Times New Roman" w:eastAsia="Times New Roman" w:hAnsi="Times New Roman" w:cs="Times New Roman"/>
          <w:color w:val="222222"/>
        </w:rPr>
        <w:t> </w:t>
      </w:r>
      <w:r>
        <w:rPr>
          <w:rFonts w:ascii="Arial" w:eastAsia="Arial" w:hAnsi="Arial" w:cs="Arial"/>
          <w:color w:val="222222"/>
        </w:rPr>
        <w:t xml:space="preserve">Your compliance with the provisions relating to employment protection and working conditions in force at the place where the Goods and Services are being performed; or </w:t>
      </w:r>
    </w:p>
    <w:p w:rsidR="00E027CC" w:rsidRDefault="00346DA8" w:rsidP="00FB781C">
      <w:pPr>
        <w:numPr>
          <w:ilvl w:val="0"/>
          <w:numId w:val="1"/>
        </w:numPr>
        <w:pBdr>
          <w:top w:val="nil"/>
          <w:left w:val="nil"/>
          <w:bottom w:val="nil"/>
          <w:right w:val="nil"/>
          <w:between w:val="nil"/>
        </w:pBdr>
        <w:shd w:val="clear" w:color="auto" w:fill="FFFFFF"/>
        <w:spacing w:before="120" w:after="120" w:line="240" w:lineRule="auto"/>
        <w:rPr>
          <w:color w:val="222222"/>
        </w:rPr>
      </w:pPr>
      <w:r>
        <w:rPr>
          <w:rFonts w:ascii="Arial" w:eastAsia="Arial" w:hAnsi="Arial" w:cs="Arial"/>
          <w:color w:val="222222"/>
        </w:rPr>
        <w:t>the possibility of you obtaining state aid;</w:t>
      </w:r>
    </w:p>
    <w:p w:rsidR="00E027CC" w:rsidRDefault="00346DA8" w:rsidP="00FB781C">
      <w:pPr>
        <w:numPr>
          <w:ilvl w:val="0"/>
          <w:numId w:val="7"/>
        </w:numPr>
        <w:pBdr>
          <w:top w:val="nil"/>
          <w:left w:val="nil"/>
          <w:bottom w:val="nil"/>
          <w:right w:val="nil"/>
          <w:between w:val="nil"/>
        </w:pBdr>
        <w:shd w:val="clear" w:color="auto" w:fill="FFFFFF"/>
        <w:spacing w:before="120" w:after="120" w:line="240" w:lineRule="auto"/>
        <w:rPr>
          <w:color w:val="222222"/>
          <w:highlight w:val="white"/>
        </w:rPr>
      </w:pPr>
      <w:r>
        <w:rPr>
          <w:rFonts w:ascii="Arial" w:eastAsia="Arial" w:hAnsi="Arial" w:cs="Arial"/>
          <w:color w:val="222222"/>
          <w:highlight w:val="white"/>
        </w:rPr>
        <w:t>to take account of the evidence provided by the Potential Provider in response; and</w:t>
      </w:r>
    </w:p>
    <w:p w:rsidR="00E027CC" w:rsidRDefault="00346DA8" w:rsidP="00FB781C">
      <w:pPr>
        <w:numPr>
          <w:ilvl w:val="0"/>
          <w:numId w:val="7"/>
        </w:numPr>
        <w:pBdr>
          <w:top w:val="nil"/>
          <w:left w:val="nil"/>
          <w:bottom w:val="nil"/>
          <w:right w:val="nil"/>
          <w:between w:val="nil"/>
        </w:pBdr>
        <w:shd w:val="clear" w:color="auto" w:fill="FFFFFF"/>
        <w:spacing w:before="120" w:after="120" w:line="240" w:lineRule="auto"/>
        <w:rPr>
          <w:color w:val="222222"/>
          <w:highlight w:val="white"/>
        </w:rPr>
      </w:pPr>
      <w:proofErr w:type="gramStart"/>
      <w:r>
        <w:rPr>
          <w:rFonts w:ascii="Arial" w:eastAsia="Arial" w:hAnsi="Arial" w:cs="Arial"/>
          <w:color w:val="000000"/>
        </w:rPr>
        <w:t>to</w:t>
      </w:r>
      <w:proofErr w:type="gramEnd"/>
      <w:r>
        <w:rPr>
          <w:rFonts w:ascii="Arial" w:eastAsia="Arial" w:hAnsi="Arial" w:cs="Arial"/>
          <w:color w:val="000000"/>
        </w:rPr>
        <w:t xml:space="preserve"> subsequently verify with them the Bid Discount being abnormally low.</w:t>
      </w:r>
    </w:p>
    <w:p w:rsidR="00E027CC" w:rsidRDefault="00346DA8" w:rsidP="00FB781C">
      <w:pPr>
        <w:pStyle w:val="Heading3"/>
        <w:numPr>
          <w:ilvl w:val="2"/>
          <w:numId w:val="3"/>
        </w:numPr>
        <w:ind w:left="1700" w:hanging="735"/>
      </w:pPr>
      <w:r>
        <w:rPr>
          <w:b/>
        </w:rPr>
        <w:t xml:space="preserve"> Price Evaluation Process </w:t>
      </w:r>
    </w:p>
    <w:p w:rsidR="00E027CC" w:rsidRDefault="00346DA8" w:rsidP="00FB781C">
      <w:pPr>
        <w:pStyle w:val="Heading4"/>
        <w:numPr>
          <w:ilvl w:val="3"/>
          <w:numId w:val="3"/>
        </w:numPr>
        <w:pBdr>
          <w:top w:val="nil"/>
          <w:left w:val="nil"/>
          <w:bottom w:val="nil"/>
          <w:right w:val="nil"/>
          <w:between w:val="nil"/>
        </w:pBdr>
        <w:ind w:left="2438" w:hanging="964"/>
      </w:pPr>
      <w:r>
        <w:t xml:space="preserve">The instructions provided in this paragraph </w:t>
      </w:r>
      <w:r w:rsidRPr="00FB781C">
        <w:t>11.6.</w:t>
      </w:r>
      <w:r>
        <w:t xml:space="preserve">10 refer to </w:t>
      </w:r>
      <w:r w:rsidRPr="00FB781C">
        <w:t>Attachment 9 – P</w:t>
      </w:r>
      <w:r>
        <w:t xml:space="preserve">ricing Matrix and should be read in conjunction with that attachment and Framework Schedule 3 (Framework Pricing and Charging Structure).  </w:t>
      </w:r>
    </w:p>
    <w:p w:rsidR="00E027CC" w:rsidRDefault="00346DA8" w:rsidP="00FB781C">
      <w:pPr>
        <w:pStyle w:val="Heading4"/>
        <w:numPr>
          <w:ilvl w:val="3"/>
          <w:numId w:val="3"/>
        </w:numPr>
        <w:ind w:left="2438" w:hanging="964"/>
      </w:pPr>
      <w:r>
        <w:t xml:space="preserve">When </w:t>
      </w:r>
      <w:proofErr w:type="gramStart"/>
      <w:r>
        <w:t>you  submit</w:t>
      </w:r>
      <w:proofErr w:type="gramEnd"/>
      <w:r>
        <w:t xml:space="preserve"> your Tender, you must insert percentages into the cells which are highlighted blue and grey in accordance with the instruction provided within Attachment 9 – Pricing Matrix on Tab 2 – Instructions.</w:t>
      </w:r>
    </w:p>
    <w:p w:rsidR="00E027CC" w:rsidRDefault="00346DA8" w:rsidP="00FB781C">
      <w:pPr>
        <w:pStyle w:val="Heading4"/>
        <w:numPr>
          <w:ilvl w:val="3"/>
          <w:numId w:val="3"/>
        </w:numPr>
        <w:ind w:left="2438" w:hanging="964"/>
      </w:pPr>
      <w:r>
        <w:t xml:space="preserve">The percentage submitted into the cells highlighted in blue (i.e. % Discount </w:t>
      </w:r>
      <w:proofErr w:type="gramStart"/>
      <w:r>
        <w:t>Off</w:t>
      </w:r>
      <w:proofErr w:type="gramEnd"/>
      <w:r>
        <w:t xml:space="preserve"> Funding Band Maximum for the Apprenticeship Standard Level 6 will be used for the Pricing Evaluation. Failure to insert an applicable percentage may result in your Tender being deemed non-compliant and excluded from further participation in this Procurement.</w:t>
      </w:r>
    </w:p>
    <w:p w:rsidR="00E027CC" w:rsidRDefault="00346DA8" w:rsidP="00FB781C">
      <w:pPr>
        <w:pStyle w:val="Heading4"/>
        <w:numPr>
          <w:ilvl w:val="3"/>
          <w:numId w:val="3"/>
        </w:numPr>
        <w:ind w:left="2438" w:hanging="964"/>
      </w:pPr>
      <w:r>
        <w:lastRenderedPageBreak/>
        <w:t>Zero percentages are permitted, however please note if your ‘Total Bid Discount’ is automatically calculated to 0% your Price Score will be 0.00.</w:t>
      </w:r>
    </w:p>
    <w:p w:rsidR="00E027CC" w:rsidRDefault="00346DA8" w:rsidP="00FB781C">
      <w:pPr>
        <w:pStyle w:val="Heading4"/>
        <w:numPr>
          <w:ilvl w:val="3"/>
          <w:numId w:val="3"/>
        </w:numPr>
        <w:ind w:left="2438" w:hanging="964"/>
      </w:pPr>
      <w:r>
        <w:t xml:space="preserve">Potential Providers are not permitted to charge an amount which is above the Funding Band Maximum in place for any Apprenticeship Standard applicable. Failure to comply with this instruction may result in your Tender being deemed non-compliant and excluded from further participation in this </w:t>
      </w:r>
      <w:proofErr w:type="gramStart"/>
      <w:r>
        <w:t>procurement .</w:t>
      </w:r>
      <w:proofErr w:type="gramEnd"/>
    </w:p>
    <w:p w:rsidR="00E027CC" w:rsidRDefault="00346DA8" w:rsidP="00FB781C">
      <w:pPr>
        <w:pStyle w:val="Heading4"/>
        <w:numPr>
          <w:ilvl w:val="3"/>
          <w:numId w:val="3"/>
        </w:numPr>
        <w:ind w:left="2438" w:hanging="964"/>
      </w:pPr>
      <w:r>
        <w:t>Percentages inserted into the cells highlighted in grey in the Cost Component Table (i.e. % Breakdown) will not be evaluated or form part of the Pricing Evaluation. In the event that you are successful, the information provided will be incorporated into Framework Agreement</w:t>
      </w:r>
      <w:r w:rsidRPr="00FB781C">
        <w:t xml:space="preserve"> Schedule 3 (</w:t>
      </w:r>
      <w:r>
        <w:t>Pricing and Charging Structure) and form the basis of the Contracting Authorities Call-Off Agreement. Failure to provide this information may result in your Tender being deemed non-compliant and may be excluded from further participation in this procurement.</w:t>
      </w:r>
    </w:p>
    <w:p w:rsidR="00E027CC" w:rsidRDefault="00346DA8" w:rsidP="00FB781C">
      <w:pPr>
        <w:pStyle w:val="Heading4"/>
        <w:numPr>
          <w:ilvl w:val="3"/>
          <w:numId w:val="3"/>
        </w:numPr>
        <w:ind w:left="2438" w:hanging="964"/>
      </w:pPr>
      <w:r>
        <w:t>Zero percentages will not be accepted in the cells highlighted in grey in the Cost Component Table (i.e. % Breakdown), except where ‘other costs directly related the apprenticeship’ are not applicable. If you submit any zero percentages in the cells highlighted in grey except where ‘other costs directly related the apprenticeship’ are not applicable, it is likely to result in the Tender being deemed non-compliant and excluded from further participation in this Procurement.</w:t>
      </w:r>
    </w:p>
    <w:p w:rsidR="00E027CC" w:rsidRDefault="00346DA8" w:rsidP="00FB781C">
      <w:pPr>
        <w:pStyle w:val="Heading4"/>
        <w:numPr>
          <w:ilvl w:val="3"/>
          <w:numId w:val="3"/>
        </w:numPr>
        <w:pBdr>
          <w:top w:val="nil"/>
          <w:left w:val="nil"/>
          <w:bottom w:val="nil"/>
          <w:right w:val="nil"/>
          <w:between w:val="nil"/>
        </w:pBdr>
        <w:ind w:left="2438" w:hanging="964"/>
      </w:pPr>
      <w:r>
        <w:t xml:space="preserve">Following the conclusion of the Quality Evaluation, the Potential Providers who have not been previously excluded, and have correctly submitted a completed Attachment 9 – Pricing Matrix and uploaded it to the commercial envelope question, will be evaluated in accordance with the process set out in this paragraph </w:t>
      </w:r>
      <w:r w:rsidRPr="00FB781C">
        <w:t>11.6.</w:t>
      </w:r>
      <w:r>
        <w:t>10</w:t>
      </w:r>
      <w:r w:rsidRPr="00FB781C">
        <w:t>.</w:t>
      </w:r>
      <w:r>
        <w:t xml:space="preserve"> </w:t>
      </w:r>
    </w:p>
    <w:p w:rsidR="00E027CC" w:rsidRDefault="00346DA8" w:rsidP="00FB781C">
      <w:pPr>
        <w:pStyle w:val="Heading4"/>
        <w:numPr>
          <w:ilvl w:val="3"/>
          <w:numId w:val="3"/>
        </w:numPr>
        <w:ind w:left="2438" w:hanging="964"/>
      </w:pPr>
      <w:r>
        <w:t xml:space="preserve">The overall ‘Total Bid Discount’ for the price evaluation, will be an automatically calculated total of the ‘% Discount </w:t>
      </w:r>
      <w:proofErr w:type="gramStart"/>
      <w:r>
        <w:t>Off</w:t>
      </w:r>
      <w:proofErr w:type="gramEnd"/>
      <w:r>
        <w:t xml:space="preserve"> Funding Band Maximum for the Level 6 Apprenticeship Standard shown in that Attachment.</w:t>
      </w:r>
    </w:p>
    <w:p w:rsidR="00E027CC" w:rsidRDefault="00346DA8" w:rsidP="00FB781C">
      <w:pPr>
        <w:pStyle w:val="Heading4"/>
        <w:numPr>
          <w:ilvl w:val="3"/>
          <w:numId w:val="3"/>
        </w:numPr>
        <w:ind w:left="2438" w:hanging="964"/>
      </w:pPr>
      <w:r>
        <w:t xml:space="preserve">The Authority will compare the ‘Total Bid Discount’ offered against all other ‘Total Bid Discounts’ submitted by other Potential Providers. </w:t>
      </w:r>
    </w:p>
    <w:p w:rsidR="00E027CC" w:rsidRDefault="00346DA8" w:rsidP="00FB781C">
      <w:pPr>
        <w:pStyle w:val="Heading4"/>
        <w:numPr>
          <w:ilvl w:val="3"/>
          <w:numId w:val="3"/>
        </w:numPr>
        <w:ind w:left="2438" w:hanging="964"/>
      </w:pPr>
      <w:r>
        <w:t>The Potential Provider with the highest ‘Total Bid Discount’ shall be awarded the Maximum Score Available. The remaining Potential Providers shall be awarded a percentage of the Maximum Score Available equal to their ‘Total Bid Discount’, relative to the highest ‘Total Bid Discount’ submitted.</w:t>
      </w:r>
    </w:p>
    <w:p w:rsidR="00E027CC" w:rsidRDefault="00346DA8" w:rsidP="00FB781C">
      <w:pPr>
        <w:pStyle w:val="Heading4"/>
        <w:numPr>
          <w:ilvl w:val="3"/>
          <w:numId w:val="3"/>
        </w:numPr>
        <w:ind w:left="2438" w:hanging="964"/>
      </w:pPr>
      <w:r>
        <w:t xml:space="preserve">The calculation used is as follows: </w:t>
      </w:r>
    </w:p>
    <w:tbl>
      <w:tblPr>
        <w:tblStyle w:val="a3"/>
        <w:tblW w:w="7245" w:type="dxa"/>
        <w:jc w:val="right"/>
        <w:tblLayout w:type="fixed"/>
        <w:tblLook w:val="0400" w:firstRow="0" w:lastRow="0" w:firstColumn="0" w:lastColumn="0" w:noHBand="0" w:noVBand="1"/>
      </w:tblPr>
      <w:tblGrid>
        <w:gridCol w:w="1385"/>
        <w:gridCol w:w="3577"/>
        <w:gridCol w:w="2283"/>
      </w:tblGrid>
      <w:tr w:rsidR="00E027CC" w:rsidTr="00FB781C">
        <w:trPr>
          <w:trHeight w:val="300"/>
          <w:jc w:val="right"/>
        </w:trPr>
        <w:tc>
          <w:tcPr>
            <w:tcW w:w="1385" w:type="dxa"/>
            <w:vMerge w:val="restart"/>
            <w:tcBorders>
              <w:top w:val="nil"/>
              <w:left w:val="nil"/>
              <w:bottom w:val="nil"/>
              <w:right w:val="nil"/>
            </w:tcBorders>
            <w:shd w:val="clear" w:color="auto" w:fill="auto"/>
            <w:vAlign w:val="center"/>
          </w:tcPr>
          <w:p w:rsidR="00E027CC" w:rsidRDefault="00346DA8">
            <w:pPr>
              <w:rPr>
                <w:rFonts w:ascii="Arial" w:eastAsia="Arial" w:hAnsi="Arial" w:cs="Arial"/>
                <w:color w:val="000000"/>
              </w:rPr>
            </w:pPr>
            <w:r>
              <w:rPr>
                <w:rFonts w:ascii="Arial" w:eastAsia="Arial" w:hAnsi="Arial" w:cs="Arial"/>
                <w:color w:val="000000"/>
              </w:rPr>
              <w:t>Score</w:t>
            </w:r>
            <w:r>
              <w:rPr>
                <w:rFonts w:ascii="Arial" w:eastAsia="Arial" w:hAnsi="Arial" w:cs="Arial"/>
                <w:color w:val="000000"/>
              </w:rPr>
              <w:tab/>
              <w:t xml:space="preserve"> =</w:t>
            </w:r>
          </w:p>
        </w:tc>
        <w:tc>
          <w:tcPr>
            <w:tcW w:w="3577" w:type="dxa"/>
            <w:tcBorders>
              <w:top w:val="nil"/>
              <w:left w:val="nil"/>
              <w:bottom w:val="nil"/>
              <w:right w:val="nil"/>
            </w:tcBorders>
            <w:shd w:val="clear" w:color="auto" w:fill="auto"/>
            <w:vAlign w:val="center"/>
          </w:tcPr>
          <w:p w:rsidR="00E027CC" w:rsidRDefault="00346DA8">
            <w:pPr>
              <w:ind w:left="-120"/>
              <w:jc w:val="center"/>
              <w:rPr>
                <w:rFonts w:ascii="Arial" w:eastAsia="Arial" w:hAnsi="Arial" w:cs="Arial"/>
                <w:color w:val="000000"/>
                <w:u w:val="single"/>
              </w:rPr>
            </w:pPr>
            <w:r>
              <w:rPr>
                <w:rFonts w:ascii="Arial" w:eastAsia="Arial" w:hAnsi="Arial" w:cs="Arial"/>
                <w:color w:val="000000"/>
                <w:u w:val="single"/>
              </w:rPr>
              <w:t>Potential Providers Total Bid Discount</w:t>
            </w:r>
          </w:p>
        </w:tc>
        <w:tc>
          <w:tcPr>
            <w:tcW w:w="2283" w:type="dxa"/>
            <w:vMerge w:val="restart"/>
            <w:tcBorders>
              <w:top w:val="nil"/>
              <w:left w:val="nil"/>
              <w:bottom w:val="nil"/>
              <w:right w:val="nil"/>
            </w:tcBorders>
            <w:shd w:val="clear" w:color="auto" w:fill="auto"/>
            <w:vAlign w:val="center"/>
          </w:tcPr>
          <w:p w:rsidR="00E027CC" w:rsidRDefault="00346DA8">
            <w:pPr>
              <w:jc w:val="center"/>
              <w:rPr>
                <w:rFonts w:ascii="Arial" w:eastAsia="Arial" w:hAnsi="Arial" w:cs="Arial"/>
                <w:color w:val="000000"/>
              </w:rPr>
            </w:pPr>
            <w:r>
              <w:rPr>
                <w:rFonts w:ascii="Arial" w:eastAsia="Arial" w:hAnsi="Arial" w:cs="Arial"/>
                <w:color w:val="000000"/>
              </w:rPr>
              <w:t xml:space="preserve">x </w:t>
            </w:r>
            <w:r>
              <w:rPr>
                <w:rFonts w:ascii="Arial" w:eastAsia="Arial" w:hAnsi="Arial" w:cs="Arial"/>
              </w:rPr>
              <w:t>1</w:t>
            </w:r>
            <w:r>
              <w:rPr>
                <w:rFonts w:ascii="Arial" w:eastAsia="Arial" w:hAnsi="Arial" w:cs="Arial"/>
                <w:color w:val="000000"/>
              </w:rPr>
              <w:t xml:space="preserve">0% </w:t>
            </w:r>
          </w:p>
          <w:p w:rsidR="00E027CC" w:rsidRDefault="00346DA8">
            <w:pPr>
              <w:jc w:val="center"/>
              <w:rPr>
                <w:rFonts w:ascii="Arial" w:eastAsia="Arial" w:hAnsi="Arial" w:cs="Arial"/>
                <w:color w:val="000000"/>
              </w:rPr>
            </w:pPr>
            <w:r>
              <w:rPr>
                <w:rFonts w:ascii="Arial" w:eastAsia="Arial" w:hAnsi="Arial" w:cs="Arial"/>
                <w:color w:val="000000"/>
              </w:rPr>
              <w:t>(Max Score Available)</w:t>
            </w:r>
          </w:p>
        </w:tc>
      </w:tr>
      <w:tr w:rsidR="00E027CC" w:rsidTr="00FB781C">
        <w:trPr>
          <w:trHeight w:val="300"/>
          <w:jc w:val="right"/>
        </w:trPr>
        <w:tc>
          <w:tcPr>
            <w:tcW w:w="1385" w:type="dxa"/>
            <w:vMerge/>
            <w:tcBorders>
              <w:top w:val="nil"/>
              <w:left w:val="nil"/>
              <w:bottom w:val="nil"/>
              <w:right w:val="nil"/>
            </w:tcBorders>
            <w:shd w:val="clear" w:color="auto" w:fill="auto"/>
            <w:vAlign w:val="center"/>
          </w:tcPr>
          <w:p w:rsidR="00E027CC" w:rsidRDefault="00E027CC">
            <w:pPr>
              <w:widowControl w:val="0"/>
              <w:pBdr>
                <w:top w:val="nil"/>
                <w:left w:val="nil"/>
                <w:bottom w:val="nil"/>
                <w:right w:val="nil"/>
                <w:between w:val="nil"/>
              </w:pBdr>
              <w:spacing w:line="276" w:lineRule="auto"/>
              <w:jc w:val="left"/>
              <w:rPr>
                <w:rFonts w:ascii="Arial" w:eastAsia="Arial" w:hAnsi="Arial" w:cs="Arial"/>
                <w:color w:val="000000"/>
              </w:rPr>
            </w:pPr>
          </w:p>
        </w:tc>
        <w:tc>
          <w:tcPr>
            <w:tcW w:w="3577" w:type="dxa"/>
            <w:tcBorders>
              <w:top w:val="nil"/>
              <w:left w:val="nil"/>
              <w:bottom w:val="nil"/>
              <w:right w:val="nil"/>
            </w:tcBorders>
            <w:shd w:val="clear" w:color="auto" w:fill="auto"/>
            <w:vAlign w:val="center"/>
          </w:tcPr>
          <w:p w:rsidR="00E027CC" w:rsidRDefault="00346DA8">
            <w:pPr>
              <w:jc w:val="center"/>
              <w:rPr>
                <w:rFonts w:ascii="Arial" w:eastAsia="Arial" w:hAnsi="Arial" w:cs="Arial"/>
                <w:color w:val="000000"/>
              </w:rPr>
            </w:pPr>
            <w:r>
              <w:rPr>
                <w:rFonts w:ascii="Arial" w:eastAsia="Arial" w:hAnsi="Arial" w:cs="Arial"/>
                <w:color w:val="000000"/>
              </w:rPr>
              <w:t>Highest Total Bid Discount</w:t>
            </w:r>
          </w:p>
        </w:tc>
        <w:tc>
          <w:tcPr>
            <w:tcW w:w="2283" w:type="dxa"/>
            <w:vMerge/>
            <w:tcBorders>
              <w:top w:val="nil"/>
              <w:left w:val="nil"/>
              <w:bottom w:val="nil"/>
              <w:right w:val="nil"/>
            </w:tcBorders>
            <w:shd w:val="clear" w:color="auto" w:fill="auto"/>
            <w:vAlign w:val="center"/>
          </w:tcPr>
          <w:p w:rsidR="00E027CC" w:rsidRDefault="00E027CC">
            <w:pPr>
              <w:widowControl w:val="0"/>
              <w:pBdr>
                <w:top w:val="nil"/>
                <w:left w:val="nil"/>
                <w:bottom w:val="nil"/>
                <w:right w:val="nil"/>
                <w:between w:val="nil"/>
              </w:pBdr>
              <w:spacing w:line="276" w:lineRule="auto"/>
              <w:jc w:val="left"/>
              <w:rPr>
                <w:rFonts w:ascii="Arial" w:eastAsia="Arial" w:hAnsi="Arial" w:cs="Arial"/>
                <w:color w:val="000000"/>
              </w:rPr>
            </w:pPr>
          </w:p>
        </w:tc>
      </w:tr>
    </w:tbl>
    <w:p w:rsidR="00E027CC" w:rsidRDefault="00E027CC">
      <w:pPr>
        <w:pStyle w:val="Heading4"/>
        <w:ind w:left="2438"/>
      </w:pPr>
    </w:p>
    <w:p w:rsidR="00E027CC" w:rsidRDefault="00346DA8" w:rsidP="00FB781C">
      <w:pPr>
        <w:pStyle w:val="Heading4"/>
        <w:numPr>
          <w:ilvl w:val="3"/>
          <w:numId w:val="3"/>
        </w:numPr>
        <w:ind w:left="2551" w:hanging="1077"/>
      </w:pPr>
      <w:r>
        <w:lastRenderedPageBreak/>
        <w:t>When the score has been determined, this will enable the establishment of an overall score for the Price Evaluation (“</w:t>
      </w:r>
      <w:r>
        <w:rPr>
          <w:b/>
        </w:rPr>
        <w:t>Price Score</w:t>
      </w:r>
      <w:r>
        <w:t>”).</w:t>
      </w:r>
    </w:p>
    <w:p w:rsidR="00E027CC" w:rsidRDefault="00346DA8" w:rsidP="00FB781C">
      <w:pPr>
        <w:pStyle w:val="Heading4"/>
        <w:numPr>
          <w:ilvl w:val="3"/>
          <w:numId w:val="3"/>
        </w:numPr>
        <w:ind w:left="2551" w:hanging="1077"/>
      </w:pPr>
      <w:r>
        <w:t>A worked example at paragraph</w:t>
      </w:r>
      <w:r w:rsidRPr="00FB781C">
        <w:t xml:space="preserve"> 16 – Annex 1 </w:t>
      </w:r>
      <w:r>
        <w:t xml:space="preserve">of this document illustrates how the overall ‘Total Bid Discount’ will be evaluated. </w:t>
      </w:r>
    </w:p>
    <w:p w:rsidR="00E027CC" w:rsidRDefault="00346DA8" w:rsidP="00FB781C">
      <w:pPr>
        <w:pStyle w:val="Heading3"/>
        <w:numPr>
          <w:ilvl w:val="2"/>
          <w:numId w:val="3"/>
        </w:numPr>
        <w:pBdr>
          <w:top w:val="nil"/>
          <w:left w:val="nil"/>
          <w:bottom w:val="nil"/>
          <w:right w:val="nil"/>
          <w:between w:val="nil"/>
        </w:pBdr>
        <w:ind w:left="1700" w:hanging="735"/>
      </w:pPr>
      <w:r>
        <w:rPr>
          <w:b/>
        </w:rPr>
        <w:t>Price Evaluation methodology</w:t>
      </w:r>
    </w:p>
    <w:p w:rsidR="00E027CC" w:rsidRDefault="00346DA8" w:rsidP="00FB781C">
      <w:pPr>
        <w:pStyle w:val="Heading4"/>
        <w:numPr>
          <w:ilvl w:val="3"/>
          <w:numId w:val="3"/>
        </w:numPr>
        <w:pBdr>
          <w:top w:val="nil"/>
          <w:left w:val="nil"/>
          <w:bottom w:val="nil"/>
          <w:right w:val="nil"/>
          <w:between w:val="nil"/>
        </w:pBdr>
        <w:ind w:left="2438" w:hanging="964"/>
      </w:pPr>
      <w:r>
        <w:t xml:space="preserve">The Price Evaluation process as described in paragraph </w:t>
      </w:r>
      <w:r w:rsidRPr="00FB781C">
        <w:t>11.6.</w:t>
      </w:r>
      <w:r>
        <w:t xml:space="preserve">10 will be undertaken by different evaluators to those individuals involved in the Quality Evaluation process. </w:t>
      </w:r>
    </w:p>
    <w:p w:rsidR="00E027CC" w:rsidRDefault="00346DA8" w:rsidP="00FB781C">
      <w:pPr>
        <w:pStyle w:val="Heading4"/>
        <w:numPr>
          <w:ilvl w:val="3"/>
          <w:numId w:val="3"/>
        </w:numPr>
        <w:pBdr>
          <w:top w:val="nil"/>
          <w:left w:val="nil"/>
          <w:bottom w:val="nil"/>
          <w:right w:val="nil"/>
          <w:between w:val="nil"/>
        </w:pBdr>
        <w:ind w:left="2438" w:hanging="964"/>
      </w:pPr>
      <w:r>
        <w:t>Rounding of calculations undertaken in the Price Evaluation process in this procurement will be calculated to two (2) decimal places.</w:t>
      </w:r>
    </w:p>
    <w:p w:rsidR="00E027CC" w:rsidRDefault="00346DA8" w:rsidP="00FB781C">
      <w:pPr>
        <w:pStyle w:val="Heading4"/>
        <w:numPr>
          <w:ilvl w:val="3"/>
          <w:numId w:val="3"/>
        </w:numPr>
        <w:pBdr>
          <w:top w:val="nil"/>
          <w:left w:val="nil"/>
          <w:bottom w:val="nil"/>
          <w:right w:val="nil"/>
          <w:between w:val="nil"/>
        </w:pBdr>
        <w:ind w:left="2438" w:hanging="964"/>
      </w:pPr>
      <w:r>
        <w:t xml:space="preserve">The Price Evaluation process and resultant ranking of Potential Providers (along with the marks awarded) will be independently checked and verified by individual(s) not previously involved in the Price Evaluation process. </w:t>
      </w:r>
    </w:p>
    <w:p w:rsidR="00E027CC" w:rsidRDefault="00346DA8" w:rsidP="00FB781C">
      <w:pPr>
        <w:pStyle w:val="Heading2"/>
        <w:numPr>
          <w:ilvl w:val="1"/>
          <w:numId w:val="3"/>
        </w:numPr>
        <w:pBdr>
          <w:top w:val="nil"/>
          <w:left w:val="nil"/>
          <w:bottom w:val="nil"/>
          <w:right w:val="nil"/>
          <w:between w:val="nil"/>
        </w:pBdr>
      </w:pPr>
      <w:r>
        <w:rPr>
          <w:b/>
          <w:sz w:val="22"/>
          <w:szCs w:val="22"/>
        </w:rPr>
        <w:t>Final Score</w:t>
      </w:r>
    </w:p>
    <w:p w:rsidR="00E027CC" w:rsidRDefault="00346DA8" w:rsidP="00FB781C">
      <w:pPr>
        <w:pStyle w:val="Heading3"/>
        <w:numPr>
          <w:ilvl w:val="2"/>
          <w:numId w:val="3"/>
        </w:numPr>
        <w:pBdr>
          <w:top w:val="nil"/>
          <w:left w:val="nil"/>
          <w:bottom w:val="nil"/>
          <w:right w:val="nil"/>
          <w:between w:val="nil"/>
        </w:pBdr>
        <w:ind w:left="1700" w:hanging="735"/>
      </w:pPr>
      <w:r>
        <w:t xml:space="preserve">The Quality Score will be added to the Price Score to determine the Final Score for each Potential Provider (“Final Score”). See worked examples below. </w:t>
      </w:r>
    </w:p>
    <w:p w:rsidR="00E027CC" w:rsidRDefault="00346DA8" w:rsidP="00FB781C">
      <w:pPr>
        <w:pStyle w:val="Heading3"/>
        <w:numPr>
          <w:ilvl w:val="2"/>
          <w:numId w:val="3"/>
        </w:numPr>
        <w:pBdr>
          <w:top w:val="nil"/>
          <w:left w:val="nil"/>
          <w:bottom w:val="nil"/>
          <w:right w:val="nil"/>
          <w:between w:val="nil"/>
        </w:pBdr>
        <w:ind w:left="1700" w:hanging="735"/>
      </w:pPr>
      <w:r>
        <w:t>Illustrative Example:</w:t>
      </w:r>
    </w:p>
    <w:p w:rsidR="00E027CC" w:rsidRDefault="00E027CC">
      <w:pPr>
        <w:tabs>
          <w:tab w:val="left" w:pos="1843"/>
        </w:tabs>
        <w:ind w:left="1440"/>
      </w:pPr>
    </w:p>
    <w:tbl>
      <w:tblPr>
        <w:tblStyle w:val="a4"/>
        <w:tblW w:w="8160" w:type="dxa"/>
        <w:tblInd w:w="14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774"/>
        <w:gridCol w:w="1701"/>
        <w:gridCol w:w="1701"/>
        <w:gridCol w:w="1984"/>
      </w:tblGrid>
      <w:tr w:rsidR="00E027CC" w:rsidTr="00FB781C">
        <w:tc>
          <w:tcPr>
            <w:tcW w:w="2774" w:type="dxa"/>
            <w:vAlign w:val="center"/>
          </w:tcPr>
          <w:p w:rsidR="00E027CC" w:rsidRPr="00FB781C" w:rsidRDefault="00346DA8">
            <w:pPr>
              <w:pStyle w:val="Heading3"/>
              <w:outlineLvl w:val="2"/>
            </w:pPr>
            <w:r>
              <w:t>Potential Provider</w:t>
            </w:r>
          </w:p>
        </w:tc>
        <w:tc>
          <w:tcPr>
            <w:tcW w:w="1701" w:type="dxa"/>
            <w:vAlign w:val="center"/>
          </w:tcPr>
          <w:p w:rsidR="00E027CC" w:rsidRDefault="00346DA8">
            <w:pPr>
              <w:pStyle w:val="Heading3"/>
              <w:jc w:val="left"/>
              <w:outlineLvl w:val="2"/>
            </w:pPr>
            <w:r>
              <w:t>Quality</w:t>
            </w:r>
          </w:p>
          <w:p w:rsidR="00E027CC" w:rsidRDefault="00346DA8">
            <w:pPr>
              <w:pStyle w:val="Heading3"/>
              <w:jc w:val="left"/>
              <w:outlineLvl w:val="2"/>
            </w:pPr>
            <w:r w:rsidRPr="00FB781C">
              <w:t xml:space="preserve">Score </w:t>
            </w:r>
            <w:r>
              <w:t xml:space="preserve"> </w:t>
            </w:r>
          </w:p>
          <w:p w:rsidR="00E027CC" w:rsidRPr="00FB781C" w:rsidRDefault="00346DA8" w:rsidP="00FB781C">
            <w:pPr>
              <w:pStyle w:val="Heading3"/>
              <w:pBdr>
                <w:top w:val="nil"/>
                <w:left w:val="nil"/>
                <w:bottom w:val="nil"/>
                <w:right w:val="nil"/>
                <w:between w:val="nil"/>
              </w:pBdr>
              <w:jc w:val="left"/>
              <w:outlineLvl w:val="2"/>
            </w:pPr>
            <w:r>
              <w:t>Max=90</w:t>
            </w:r>
          </w:p>
        </w:tc>
        <w:tc>
          <w:tcPr>
            <w:tcW w:w="1701" w:type="dxa"/>
            <w:vAlign w:val="center"/>
          </w:tcPr>
          <w:p w:rsidR="00E027CC" w:rsidRDefault="00346DA8">
            <w:pPr>
              <w:pStyle w:val="Heading3"/>
              <w:jc w:val="center"/>
              <w:outlineLvl w:val="2"/>
            </w:pPr>
            <w:r w:rsidRPr="00FB781C">
              <w:t>Price</w:t>
            </w:r>
          </w:p>
          <w:p w:rsidR="00E027CC" w:rsidRDefault="00346DA8">
            <w:pPr>
              <w:pStyle w:val="Heading3"/>
              <w:pBdr>
                <w:top w:val="nil"/>
                <w:left w:val="nil"/>
                <w:bottom w:val="nil"/>
                <w:right w:val="nil"/>
                <w:between w:val="nil"/>
              </w:pBdr>
              <w:jc w:val="center"/>
              <w:outlineLvl w:val="2"/>
            </w:pPr>
            <w:r w:rsidRPr="00FB781C">
              <w:t>Score</w:t>
            </w:r>
          </w:p>
          <w:p w:rsidR="00E027CC" w:rsidRPr="00FB781C" w:rsidRDefault="00346DA8" w:rsidP="00FB781C">
            <w:pPr>
              <w:pStyle w:val="Heading3"/>
              <w:pBdr>
                <w:top w:val="nil"/>
                <w:left w:val="nil"/>
                <w:bottom w:val="nil"/>
                <w:right w:val="nil"/>
                <w:between w:val="nil"/>
              </w:pBdr>
              <w:jc w:val="center"/>
              <w:outlineLvl w:val="2"/>
            </w:pPr>
            <w:r>
              <w:t>Max=10</w:t>
            </w:r>
          </w:p>
        </w:tc>
        <w:tc>
          <w:tcPr>
            <w:tcW w:w="1984" w:type="dxa"/>
            <w:vAlign w:val="center"/>
          </w:tcPr>
          <w:p w:rsidR="00E027CC" w:rsidRDefault="00346DA8">
            <w:pPr>
              <w:pStyle w:val="Heading3"/>
              <w:jc w:val="center"/>
              <w:outlineLvl w:val="2"/>
            </w:pPr>
            <w:r w:rsidRPr="00FB781C">
              <w:t>Final</w:t>
            </w:r>
          </w:p>
          <w:p w:rsidR="00E027CC" w:rsidRDefault="00346DA8">
            <w:pPr>
              <w:pStyle w:val="Heading3"/>
              <w:pBdr>
                <w:top w:val="nil"/>
                <w:left w:val="nil"/>
                <w:bottom w:val="nil"/>
                <w:right w:val="nil"/>
                <w:between w:val="nil"/>
              </w:pBdr>
              <w:jc w:val="center"/>
              <w:outlineLvl w:val="2"/>
            </w:pPr>
            <w:r w:rsidRPr="00FB781C">
              <w:t>Score</w:t>
            </w:r>
          </w:p>
          <w:p w:rsidR="00E027CC" w:rsidRPr="00FB781C" w:rsidRDefault="00346DA8" w:rsidP="00FB781C">
            <w:pPr>
              <w:pStyle w:val="Heading3"/>
              <w:pBdr>
                <w:top w:val="nil"/>
                <w:left w:val="nil"/>
                <w:bottom w:val="nil"/>
                <w:right w:val="nil"/>
                <w:between w:val="nil"/>
              </w:pBdr>
              <w:jc w:val="center"/>
              <w:outlineLvl w:val="2"/>
            </w:pPr>
            <w:r>
              <w:t>Max=100</w:t>
            </w:r>
          </w:p>
        </w:tc>
      </w:tr>
      <w:tr w:rsidR="00E027CC" w:rsidTr="00FB781C">
        <w:tc>
          <w:tcPr>
            <w:tcW w:w="2774" w:type="dxa"/>
            <w:vAlign w:val="center"/>
          </w:tcPr>
          <w:p w:rsidR="00E027CC" w:rsidRDefault="00346DA8">
            <w:pPr>
              <w:pStyle w:val="Heading3"/>
              <w:outlineLvl w:val="2"/>
            </w:pPr>
            <w:bookmarkStart w:id="47" w:name="_97sv5ylijthr" w:colFirst="0" w:colLast="0"/>
            <w:bookmarkEnd w:id="47"/>
            <w:r>
              <w:t>Potential Provider A</w:t>
            </w:r>
          </w:p>
        </w:tc>
        <w:tc>
          <w:tcPr>
            <w:tcW w:w="1701" w:type="dxa"/>
            <w:vAlign w:val="center"/>
          </w:tcPr>
          <w:p w:rsidR="00E027CC" w:rsidRDefault="00346DA8">
            <w:pPr>
              <w:pStyle w:val="Heading3"/>
              <w:jc w:val="center"/>
              <w:outlineLvl w:val="2"/>
            </w:pPr>
            <w:bookmarkStart w:id="48" w:name="_eioy78jg8v5l" w:colFirst="0" w:colLast="0"/>
            <w:bookmarkEnd w:id="48"/>
            <w:r>
              <w:t>90</w:t>
            </w:r>
          </w:p>
        </w:tc>
        <w:tc>
          <w:tcPr>
            <w:tcW w:w="1701" w:type="dxa"/>
            <w:vAlign w:val="center"/>
          </w:tcPr>
          <w:p w:rsidR="00E027CC" w:rsidRDefault="00346DA8">
            <w:pPr>
              <w:pStyle w:val="Heading3"/>
              <w:jc w:val="center"/>
              <w:outlineLvl w:val="2"/>
            </w:pPr>
            <w:bookmarkStart w:id="49" w:name="_fqxq4m6dtcdw" w:colFirst="0" w:colLast="0"/>
            <w:bookmarkEnd w:id="49"/>
            <w:r>
              <w:t>10</w:t>
            </w:r>
          </w:p>
        </w:tc>
        <w:tc>
          <w:tcPr>
            <w:tcW w:w="1984" w:type="dxa"/>
            <w:vAlign w:val="center"/>
          </w:tcPr>
          <w:p w:rsidR="00E027CC" w:rsidRDefault="00346DA8">
            <w:pPr>
              <w:pStyle w:val="Heading3"/>
              <w:jc w:val="center"/>
              <w:outlineLvl w:val="2"/>
            </w:pPr>
            <w:bookmarkStart w:id="50" w:name="_m7fhs4xl0120" w:colFirst="0" w:colLast="0"/>
            <w:bookmarkEnd w:id="50"/>
            <w:r>
              <w:t>100</w:t>
            </w:r>
          </w:p>
        </w:tc>
      </w:tr>
      <w:tr w:rsidR="00E027CC" w:rsidTr="00FB781C">
        <w:tc>
          <w:tcPr>
            <w:tcW w:w="2774" w:type="dxa"/>
            <w:vAlign w:val="center"/>
          </w:tcPr>
          <w:p w:rsidR="00E027CC" w:rsidRDefault="00346DA8">
            <w:pPr>
              <w:pStyle w:val="Heading3"/>
              <w:outlineLvl w:val="2"/>
            </w:pPr>
            <w:bookmarkStart w:id="51" w:name="_57841gih5wny" w:colFirst="0" w:colLast="0"/>
            <w:bookmarkEnd w:id="51"/>
            <w:r>
              <w:t>Potential Provider B</w:t>
            </w:r>
          </w:p>
        </w:tc>
        <w:tc>
          <w:tcPr>
            <w:tcW w:w="1701" w:type="dxa"/>
            <w:vAlign w:val="center"/>
          </w:tcPr>
          <w:p w:rsidR="00E027CC" w:rsidRDefault="00346DA8">
            <w:pPr>
              <w:pStyle w:val="Heading3"/>
              <w:jc w:val="center"/>
              <w:outlineLvl w:val="2"/>
            </w:pPr>
            <w:bookmarkStart w:id="52" w:name="_ew6cztscmq21" w:colFirst="0" w:colLast="0"/>
            <w:bookmarkEnd w:id="52"/>
            <w:r>
              <w:t>60</w:t>
            </w:r>
          </w:p>
        </w:tc>
        <w:tc>
          <w:tcPr>
            <w:tcW w:w="1701" w:type="dxa"/>
            <w:vAlign w:val="center"/>
          </w:tcPr>
          <w:p w:rsidR="00E027CC" w:rsidRDefault="00346DA8">
            <w:pPr>
              <w:pStyle w:val="Heading3"/>
              <w:jc w:val="center"/>
              <w:outlineLvl w:val="2"/>
            </w:pPr>
            <w:bookmarkStart w:id="53" w:name="_9mwsvv4wetej" w:colFirst="0" w:colLast="0"/>
            <w:bookmarkEnd w:id="53"/>
            <w:r>
              <w:t>15</w:t>
            </w:r>
          </w:p>
        </w:tc>
        <w:tc>
          <w:tcPr>
            <w:tcW w:w="1984" w:type="dxa"/>
            <w:vAlign w:val="center"/>
          </w:tcPr>
          <w:p w:rsidR="00E027CC" w:rsidRDefault="00346DA8">
            <w:pPr>
              <w:pStyle w:val="Heading3"/>
              <w:jc w:val="center"/>
              <w:outlineLvl w:val="2"/>
            </w:pPr>
            <w:bookmarkStart w:id="54" w:name="_jm1aabwtqfyz" w:colFirst="0" w:colLast="0"/>
            <w:bookmarkEnd w:id="54"/>
            <w:r>
              <w:t>75</w:t>
            </w:r>
          </w:p>
        </w:tc>
      </w:tr>
      <w:tr w:rsidR="00E027CC" w:rsidTr="00FB781C">
        <w:tc>
          <w:tcPr>
            <w:tcW w:w="2774" w:type="dxa"/>
            <w:vAlign w:val="center"/>
          </w:tcPr>
          <w:p w:rsidR="00E027CC" w:rsidRDefault="00346DA8">
            <w:pPr>
              <w:pStyle w:val="Heading3"/>
              <w:outlineLvl w:val="2"/>
            </w:pPr>
            <w:bookmarkStart w:id="55" w:name="_3xes04vd7ol" w:colFirst="0" w:colLast="0"/>
            <w:bookmarkEnd w:id="55"/>
            <w:r>
              <w:t>Potential Provider C</w:t>
            </w:r>
          </w:p>
        </w:tc>
        <w:tc>
          <w:tcPr>
            <w:tcW w:w="1701" w:type="dxa"/>
            <w:vAlign w:val="center"/>
          </w:tcPr>
          <w:p w:rsidR="00E027CC" w:rsidRDefault="00346DA8">
            <w:pPr>
              <w:pStyle w:val="Heading3"/>
              <w:jc w:val="center"/>
              <w:outlineLvl w:val="2"/>
            </w:pPr>
            <w:bookmarkStart w:id="56" w:name="_z5bts2y25ahi" w:colFirst="0" w:colLast="0"/>
            <w:bookmarkEnd w:id="56"/>
            <w:r>
              <w:t>55</w:t>
            </w:r>
          </w:p>
        </w:tc>
        <w:tc>
          <w:tcPr>
            <w:tcW w:w="1701" w:type="dxa"/>
            <w:vAlign w:val="center"/>
          </w:tcPr>
          <w:p w:rsidR="00E027CC" w:rsidRDefault="00346DA8">
            <w:pPr>
              <w:pStyle w:val="Heading3"/>
              <w:jc w:val="center"/>
              <w:outlineLvl w:val="2"/>
            </w:pPr>
            <w:bookmarkStart w:id="57" w:name="_2hlcu3b0epan" w:colFirst="0" w:colLast="0"/>
            <w:bookmarkEnd w:id="57"/>
            <w:r>
              <w:t>5</w:t>
            </w:r>
          </w:p>
        </w:tc>
        <w:tc>
          <w:tcPr>
            <w:tcW w:w="1984" w:type="dxa"/>
            <w:vAlign w:val="center"/>
          </w:tcPr>
          <w:p w:rsidR="00E027CC" w:rsidRDefault="00346DA8">
            <w:pPr>
              <w:pStyle w:val="Heading3"/>
              <w:jc w:val="center"/>
              <w:outlineLvl w:val="2"/>
            </w:pPr>
            <w:bookmarkStart w:id="58" w:name="_8hldx0qkc3f0" w:colFirst="0" w:colLast="0"/>
            <w:bookmarkEnd w:id="58"/>
            <w:r>
              <w:t>60</w:t>
            </w:r>
          </w:p>
        </w:tc>
      </w:tr>
    </w:tbl>
    <w:p w:rsidR="00E027CC" w:rsidRDefault="00E027CC">
      <w:pPr>
        <w:pStyle w:val="Heading3"/>
      </w:pPr>
    </w:p>
    <w:p w:rsidR="00E027CC" w:rsidRDefault="00346DA8" w:rsidP="00FB781C">
      <w:pPr>
        <w:pStyle w:val="Heading1"/>
        <w:numPr>
          <w:ilvl w:val="0"/>
          <w:numId w:val="3"/>
        </w:numPr>
        <w:pBdr>
          <w:top w:val="nil"/>
          <w:left w:val="nil"/>
          <w:bottom w:val="nil"/>
          <w:right w:val="nil"/>
          <w:between w:val="nil"/>
        </w:pBdr>
        <w:rPr>
          <w:sz w:val="22"/>
          <w:szCs w:val="22"/>
        </w:rPr>
      </w:pPr>
      <w:bookmarkStart w:id="59" w:name="_q7kvv76js0l0" w:colFirst="0" w:colLast="0"/>
      <w:bookmarkEnd w:id="59"/>
      <w:r>
        <w:rPr>
          <w:sz w:val="22"/>
          <w:szCs w:val="22"/>
        </w:rPr>
        <w:t>FINAL DECISION TO AWARD</w:t>
      </w:r>
    </w:p>
    <w:p w:rsidR="00E027CC" w:rsidRDefault="00346DA8" w:rsidP="00FB781C">
      <w:pPr>
        <w:pStyle w:val="Heading2"/>
        <w:numPr>
          <w:ilvl w:val="1"/>
          <w:numId w:val="3"/>
        </w:numPr>
        <w:pBdr>
          <w:top w:val="nil"/>
          <w:left w:val="nil"/>
          <w:bottom w:val="nil"/>
          <w:right w:val="nil"/>
          <w:between w:val="nil"/>
        </w:pBdr>
      </w:pPr>
      <w:r>
        <w:rPr>
          <w:sz w:val="22"/>
          <w:szCs w:val="22"/>
        </w:rPr>
        <w:t>Following evaluation of Tenders in accordance with the evaluation process set out in this ITT, the Potential Provider who offers the most economically advantageous Tender (</w:t>
      </w:r>
      <w:proofErr w:type="spellStart"/>
      <w:r>
        <w:rPr>
          <w:sz w:val="22"/>
          <w:szCs w:val="22"/>
        </w:rPr>
        <w:t>ie</w:t>
      </w:r>
      <w:proofErr w:type="spellEnd"/>
      <w:r>
        <w:rPr>
          <w:sz w:val="22"/>
          <w:szCs w:val="22"/>
        </w:rPr>
        <w:t xml:space="preserve"> the highest Final Score) will be awarded the Framework Agreement.</w:t>
      </w:r>
    </w:p>
    <w:p w:rsidR="00EC4846" w:rsidRPr="00EC4846" w:rsidRDefault="00EC4846" w:rsidP="00FB781C">
      <w:pPr>
        <w:pStyle w:val="Heading2"/>
        <w:numPr>
          <w:ilvl w:val="1"/>
          <w:numId w:val="3"/>
        </w:numPr>
        <w:pBdr>
          <w:top w:val="nil"/>
          <w:left w:val="nil"/>
          <w:bottom w:val="nil"/>
          <w:right w:val="nil"/>
          <w:between w:val="nil"/>
        </w:pBdr>
        <w:rPr>
          <w:sz w:val="22"/>
          <w:szCs w:val="22"/>
        </w:rPr>
      </w:pPr>
      <w:r w:rsidRPr="00EC4846">
        <w:rPr>
          <w:sz w:val="22"/>
          <w:szCs w:val="22"/>
        </w:rPr>
        <w:t xml:space="preserve">In the event that </w:t>
      </w:r>
      <w:r>
        <w:rPr>
          <w:sz w:val="22"/>
          <w:szCs w:val="22"/>
        </w:rPr>
        <w:t>there is more than one Potential Provider with the highest Final Score, the Authority will award the Framework Agreement to the Potential Provider with the highest score for (in order of precedence) award questions A5, then (in the event there is still a tie) A2, then A4, then A3, then finally A6.</w:t>
      </w:r>
    </w:p>
    <w:p w:rsidR="00E027CC" w:rsidRDefault="00346DA8" w:rsidP="00FB781C">
      <w:pPr>
        <w:pStyle w:val="Heading2"/>
        <w:numPr>
          <w:ilvl w:val="1"/>
          <w:numId w:val="3"/>
        </w:numPr>
        <w:pBdr>
          <w:top w:val="nil"/>
          <w:left w:val="nil"/>
          <w:bottom w:val="nil"/>
          <w:right w:val="nil"/>
          <w:between w:val="nil"/>
        </w:pBdr>
      </w:pPr>
      <w:r>
        <w:rPr>
          <w:sz w:val="22"/>
          <w:szCs w:val="22"/>
        </w:rPr>
        <w:t>The Authority will inform you, along with all other Potential Providers via the e-Sourcing Suite of its intention to award a Framework Agreement.</w:t>
      </w:r>
    </w:p>
    <w:p w:rsidR="00E027CC" w:rsidRDefault="00346DA8" w:rsidP="00FB781C">
      <w:pPr>
        <w:pStyle w:val="Heading2"/>
        <w:numPr>
          <w:ilvl w:val="1"/>
          <w:numId w:val="3"/>
        </w:numPr>
        <w:pBdr>
          <w:top w:val="nil"/>
          <w:left w:val="nil"/>
          <w:bottom w:val="nil"/>
          <w:right w:val="nil"/>
          <w:between w:val="nil"/>
        </w:pBdr>
      </w:pPr>
      <w:r>
        <w:rPr>
          <w:sz w:val="22"/>
          <w:szCs w:val="22"/>
        </w:rPr>
        <w:t xml:space="preserve">Should a Potential Provider decline to accept a place on the Framework Agreement, then the Authority may offer the place on the Framework Agreement to the next ranked Potential Provider, until it has been accepted, but can in its sole discretion chose not to re-offer the place on the Framework Agreement to the next ranked Potential Provider. </w:t>
      </w:r>
    </w:p>
    <w:p w:rsidR="00E027CC" w:rsidRDefault="00346DA8" w:rsidP="00FB781C">
      <w:pPr>
        <w:pStyle w:val="Heading2"/>
        <w:numPr>
          <w:ilvl w:val="1"/>
          <w:numId w:val="3"/>
        </w:numPr>
        <w:pBdr>
          <w:top w:val="nil"/>
          <w:left w:val="nil"/>
          <w:bottom w:val="nil"/>
          <w:right w:val="nil"/>
          <w:between w:val="nil"/>
        </w:pBdr>
      </w:pPr>
      <w:r>
        <w:rPr>
          <w:sz w:val="22"/>
          <w:szCs w:val="22"/>
        </w:rPr>
        <w:lastRenderedPageBreak/>
        <w:t>This procurement is being run under the ‘Light Touch Regime’, however the Authority has chosen to observe a Standstill Period. The Standstill Period will commence after the Framework Agreement places have been allocated</w:t>
      </w:r>
    </w:p>
    <w:p w:rsidR="00E027CC" w:rsidRDefault="00346DA8" w:rsidP="00FB781C">
      <w:pPr>
        <w:pStyle w:val="Heading2"/>
        <w:numPr>
          <w:ilvl w:val="1"/>
          <w:numId w:val="3"/>
        </w:numPr>
        <w:pBdr>
          <w:top w:val="nil"/>
          <w:left w:val="nil"/>
          <w:bottom w:val="nil"/>
          <w:right w:val="nil"/>
          <w:between w:val="nil"/>
        </w:pBdr>
      </w:pPr>
      <w:r>
        <w:rPr>
          <w:sz w:val="22"/>
          <w:szCs w:val="22"/>
        </w:rPr>
        <w:t>Following a Standstill Period of 10 days and subject to there being no substantive challenge to that intention, a Framework Agreement will be formally awarded, subject to contract, to the successful Potential Provider.</w:t>
      </w:r>
    </w:p>
    <w:p w:rsidR="00E027CC" w:rsidRDefault="00346DA8" w:rsidP="00FB781C">
      <w:pPr>
        <w:pStyle w:val="Heading2"/>
        <w:numPr>
          <w:ilvl w:val="1"/>
          <w:numId w:val="3"/>
        </w:numPr>
        <w:pBdr>
          <w:top w:val="nil"/>
          <w:left w:val="nil"/>
          <w:bottom w:val="nil"/>
          <w:right w:val="nil"/>
          <w:between w:val="nil"/>
        </w:pBdr>
      </w:pPr>
      <w:r>
        <w:rPr>
          <w:sz w:val="22"/>
          <w:szCs w:val="22"/>
        </w:rPr>
        <w:t xml:space="preserve">If a Potential Provider refuses a place on the Framework Agreement then the Standstill Period will be observed for that place on the Framework if offered to the next ranked Potential Provider. </w:t>
      </w:r>
    </w:p>
    <w:p w:rsidR="00E027CC" w:rsidRDefault="00346DA8" w:rsidP="00FB781C">
      <w:pPr>
        <w:pStyle w:val="Heading2"/>
        <w:numPr>
          <w:ilvl w:val="1"/>
          <w:numId w:val="3"/>
        </w:numPr>
        <w:pBdr>
          <w:top w:val="nil"/>
          <w:left w:val="nil"/>
          <w:bottom w:val="nil"/>
          <w:right w:val="nil"/>
          <w:between w:val="nil"/>
        </w:pBdr>
      </w:pPr>
      <w:r>
        <w:rPr>
          <w:sz w:val="22"/>
          <w:szCs w:val="22"/>
        </w:rPr>
        <w:t>The term Standstill Period is set out in Regulation 87 (2) and, in summary, is a period of ten calendar days following the sending by the Authority (in this instance by electronic means) of the Authority’s notice of decision to conclude the Framework Agreement tendered via the Official Journal of the European Union, during which the Authority must not conclude the Framework Agreement with the successful Supplier. It allows unsuccessful bidders the opportunity to raise any questions with the Authority that relate to the decision to award before the Framework Agreement is concluded. The Authority cannot provide advice to unsuccessful Potential Providers of the steps they should take and, if they have not already done so, Potential Providers should always seek independent legal advice, where appropriate.</w:t>
      </w:r>
    </w:p>
    <w:p w:rsidR="00E027CC" w:rsidRDefault="00346DA8" w:rsidP="00FB781C">
      <w:pPr>
        <w:pStyle w:val="Heading2"/>
        <w:numPr>
          <w:ilvl w:val="1"/>
          <w:numId w:val="3"/>
        </w:numPr>
        <w:pBdr>
          <w:top w:val="nil"/>
          <w:left w:val="nil"/>
          <w:bottom w:val="nil"/>
          <w:right w:val="nil"/>
          <w:between w:val="nil"/>
        </w:pBdr>
      </w:pPr>
      <w:r>
        <w:rPr>
          <w:sz w:val="22"/>
          <w:szCs w:val="22"/>
        </w:rPr>
        <w:t>The Framework Agreement will not be concluded until the Standstill Period has expired.</w:t>
      </w:r>
    </w:p>
    <w:p w:rsidR="00E027CC" w:rsidRDefault="00346DA8" w:rsidP="00FB781C">
      <w:pPr>
        <w:pStyle w:val="Heading2"/>
        <w:numPr>
          <w:ilvl w:val="1"/>
          <w:numId w:val="3"/>
        </w:numPr>
        <w:pBdr>
          <w:top w:val="nil"/>
          <w:left w:val="nil"/>
          <w:bottom w:val="nil"/>
          <w:right w:val="nil"/>
          <w:between w:val="nil"/>
        </w:pBdr>
      </w:pPr>
      <w:r>
        <w:rPr>
          <w:sz w:val="22"/>
          <w:szCs w:val="22"/>
        </w:rPr>
        <w:t>The conclusion of a Framework Agreement is subject to contract (including the satisfaction of any conditions precedent) and subject to provision of due ‘certificates, statements and other means of proof’ where Potential Providers have to this point relied on self-certification.</w:t>
      </w:r>
    </w:p>
    <w:p w:rsidR="00E027CC" w:rsidRDefault="00346DA8" w:rsidP="00FB781C">
      <w:pPr>
        <w:pStyle w:val="Heading1"/>
        <w:numPr>
          <w:ilvl w:val="0"/>
          <w:numId w:val="3"/>
        </w:numPr>
        <w:pBdr>
          <w:top w:val="nil"/>
          <w:left w:val="nil"/>
          <w:bottom w:val="nil"/>
          <w:right w:val="nil"/>
          <w:between w:val="nil"/>
        </w:pBdr>
        <w:rPr>
          <w:sz w:val="22"/>
          <w:szCs w:val="22"/>
        </w:rPr>
      </w:pPr>
      <w:bookmarkStart w:id="60" w:name="_p64aump9bn4o" w:colFirst="0" w:colLast="0"/>
      <w:bookmarkEnd w:id="60"/>
      <w:r>
        <w:rPr>
          <w:sz w:val="22"/>
          <w:szCs w:val="22"/>
        </w:rPr>
        <w:t xml:space="preserve">TUPE TRANSFER OF UNDERTAKINGS (PROTECTION OF EMPLOYMENT) </w:t>
      </w:r>
    </w:p>
    <w:p w:rsidR="00E027CC" w:rsidRDefault="00346DA8" w:rsidP="00FB781C">
      <w:pPr>
        <w:pStyle w:val="Heading2"/>
        <w:numPr>
          <w:ilvl w:val="1"/>
          <w:numId w:val="3"/>
        </w:numPr>
      </w:pPr>
      <w:r>
        <w:rPr>
          <w:sz w:val="22"/>
          <w:szCs w:val="22"/>
        </w:rPr>
        <w:t xml:space="preserve">The Authority considers that the Transfer of Undertakings (Protection of Employment) Regulations 2006 (“TUPE”) may apply at the Call Off </w:t>
      </w:r>
      <w:proofErr w:type="gramStart"/>
      <w:r>
        <w:rPr>
          <w:sz w:val="22"/>
          <w:szCs w:val="22"/>
        </w:rPr>
        <w:t>stage .</w:t>
      </w:r>
      <w:proofErr w:type="gramEnd"/>
    </w:p>
    <w:p w:rsidR="00E027CC" w:rsidRDefault="00346DA8" w:rsidP="00FB781C">
      <w:pPr>
        <w:pStyle w:val="Heading2"/>
        <w:numPr>
          <w:ilvl w:val="1"/>
          <w:numId w:val="3"/>
        </w:numPr>
      </w:pPr>
      <w:r>
        <w:rPr>
          <w:sz w:val="22"/>
          <w:szCs w:val="22"/>
        </w:rPr>
        <w:t>The pricing matrix is TUPE neutral. When completing the pricing matrix Potential Providers shall exclude TUPE costs. TUPE may be applicable at Call Off stage and it will be for the Contracting Authorities to determine and outline how TUPE is applied and priced.</w:t>
      </w:r>
    </w:p>
    <w:p w:rsidR="00E027CC" w:rsidRDefault="00346DA8" w:rsidP="00FB781C">
      <w:pPr>
        <w:pStyle w:val="Heading2"/>
        <w:numPr>
          <w:ilvl w:val="1"/>
          <w:numId w:val="3"/>
        </w:numPr>
      </w:pPr>
      <w:r>
        <w:rPr>
          <w:sz w:val="22"/>
          <w:szCs w:val="22"/>
        </w:rPr>
        <w:t xml:space="preserve">It is the responsibility of Potential Providers to take their own advice and consider whether TUPE is likely to apply in the particular circumstances of the contract and to act accordingly. The Potential Provider is encouraged to carry out its own due diligence exercise.  </w:t>
      </w:r>
    </w:p>
    <w:p w:rsidR="00E027CC" w:rsidRDefault="00346DA8" w:rsidP="00FB781C">
      <w:pPr>
        <w:pStyle w:val="Heading1"/>
        <w:numPr>
          <w:ilvl w:val="0"/>
          <w:numId w:val="3"/>
        </w:numPr>
        <w:rPr>
          <w:sz w:val="22"/>
          <w:szCs w:val="22"/>
        </w:rPr>
      </w:pPr>
      <w:r>
        <w:rPr>
          <w:sz w:val="22"/>
          <w:szCs w:val="22"/>
        </w:rPr>
        <w:t>THE ARMED FORCES COVENANT</w:t>
      </w:r>
    </w:p>
    <w:p w:rsidR="00E027CC" w:rsidRDefault="00346DA8" w:rsidP="00FB781C">
      <w:pPr>
        <w:pStyle w:val="Heading2"/>
        <w:numPr>
          <w:ilvl w:val="1"/>
          <w:numId w:val="3"/>
        </w:numPr>
      </w:pPr>
      <w:r>
        <w:rPr>
          <w:sz w:val="22"/>
          <w:szCs w:val="22"/>
        </w:rPr>
        <w:t xml:space="preserve">The Armed Forces Covenant (“the Covenant”) is a public sector pledge from Government, businesses, charities and organisations to demonstrate their support for the armed forces community. The Covenant was brought in under the Armed Forces Act 2011 to recognise that the whole nation has a moral obligation to redress the disadvantages the armed forces community face in comparison to other citizens, and recognise sacrifices made. </w:t>
      </w:r>
    </w:p>
    <w:p w:rsidR="00E027CC" w:rsidRDefault="00346DA8" w:rsidP="00FB781C">
      <w:pPr>
        <w:pStyle w:val="Heading2"/>
        <w:numPr>
          <w:ilvl w:val="1"/>
          <w:numId w:val="3"/>
        </w:numPr>
      </w:pPr>
      <w:r>
        <w:rPr>
          <w:sz w:val="22"/>
          <w:szCs w:val="22"/>
        </w:rPr>
        <w:t xml:space="preserve">The Covenant’s 2 principles are that: </w:t>
      </w:r>
    </w:p>
    <w:p w:rsidR="00E027CC" w:rsidRDefault="00346DA8" w:rsidP="00FB781C">
      <w:pPr>
        <w:pStyle w:val="Heading3"/>
        <w:numPr>
          <w:ilvl w:val="2"/>
          <w:numId w:val="3"/>
        </w:numPr>
        <w:ind w:left="1700" w:hanging="735"/>
      </w:pPr>
      <w:proofErr w:type="gramStart"/>
      <w:r>
        <w:t>the</w:t>
      </w:r>
      <w:proofErr w:type="gramEnd"/>
      <w:r>
        <w:t xml:space="preserve"> armed forces community should not face disadvantages where compared to other citizens in the provision of public and commercial services; and </w:t>
      </w:r>
    </w:p>
    <w:p w:rsidR="00E027CC" w:rsidRDefault="00346DA8" w:rsidP="00FB781C">
      <w:pPr>
        <w:pStyle w:val="Heading3"/>
        <w:numPr>
          <w:ilvl w:val="2"/>
          <w:numId w:val="3"/>
        </w:numPr>
        <w:ind w:left="1700" w:hanging="735"/>
      </w:pPr>
      <w:proofErr w:type="gramStart"/>
      <w:r>
        <w:lastRenderedPageBreak/>
        <w:t>special</w:t>
      </w:r>
      <w:proofErr w:type="gramEnd"/>
      <w:r>
        <w:t xml:space="preserve"> consideration is appropriate in some cases, especially for those who have given most, such as the injured and the bereaved. </w:t>
      </w:r>
    </w:p>
    <w:p w:rsidR="00E027CC" w:rsidRDefault="00346DA8" w:rsidP="00FB781C">
      <w:pPr>
        <w:pStyle w:val="Heading2"/>
        <w:numPr>
          <w:ilvl w:val="1"/>
          <w:numId w:val="3"/>
        </w:numPr>
      </w:pPr>
      <w:r>
        <w:rPr>
          <w:sz w:val="22"/>
          <w:szCs w:val="22"/>
        </w:rPr>
        <w:t xml:space="preserve">The Authority encourages the Supplier, and their Sub-Contractors, to sign the Corporate Covenant, declaring their support for the Armed Forces community by displaying the values and behaviours set out therein. </w:t>
      </w:r>
    </w:p>
    <w:p w:rsidR="00E027CC" w:rsidRDefault="00346DA8" w:rsidP="00FB781C">
      <w:pPr>
        <w:pStyle w:val="Heading2"/>
        <w:numPr>
          <w:ilvl w:val="1"/>
          <w:numId w:val="3"/>
        </w:numPr>
      </w:pPr>
      <w:r>
        <w:rPr>
          <w:sz w:val="22"/>
          <w:szCs w:val="22"/>
        </w:rPr>
        <w:t xml:space="preserve">Guidance on the various ways you can demonstrate your support through the Corporate Covenant is at </w:t>
      </w:r>
      <w:hyperlink r:id="rId10">
        <w:r>
          <w:rPr>
            <w:color w:val="0000FF"/>
            <w:sz w:val="22"/>
            <w:szCs w:val="22"/>
            <w:u w:val="single"/>
          </w:rPr>
          <w:t>The Corporate Covenant</w:t>
        </w:r>
      </w:hyperlink>
      <w:r>
        <w:rPr>
          <w:sz w:val="22"/>
          <w:szCs w:val="22"/>
          <w:u w:val="single"/>
        </w:rPr>
        <w:t> .</w:t>
      </w:r>
    </w:p>
    <w:p w:rsidR="00E027CC" w:rsidRDefault="00346DA8" w:rsidP="00FB781C">
      <w:pPr>
        <w:pStyle w:val="Heading2"/>
        <w:numPr>
          <w:ilvl w:val="1"/>
          <w:numId w:val="3"/>
        </w:numPr>
      </w:pPr>
      <w:r>
        <w:rPr>
          <w:sz w:val="22"/>
          <w:szCs w:val="22"/>
        </w:rPr>
        <w:t>If you wish to register your support you can provide a point of contact for your organisation on this issue to the Armed Forces Covenant Team at the address below, so that the MOD can alert you to any events or initiatives in which you may wish to participate. The Covenant Team can also provide any information you require in addition to that included on the website.</w:t>
      </w:r>
    </w:p>
    <w:p w:rsidR="00E027CC" w:rsidRDefault="00346DA8">
      <w:pPr>
        <w:pStyle w:val="Heading2"/>
        <w:rPr>
          <w:sz w:val="22"/>
          <w:szCs w:val="22"/>
        </w:rPr>
      </w:pPr>
      <w:r>
        <w:rPr>
          <w:sz w:val="22"/>
          <w:szCs w:val="22"/>
        </w:rPr>
        <w:t>Email address:</w:t>
      </w:r>
      <w:r>
        <w:rPr>
          <w:color w:val="0000FF"/>
          <w:sz w:val="22"/>
          <w:szCs w:val="22"/>
        </w:rPr>
        <w:t xml:space="preserve"> </w:t>
      </w:r>
      <w:hyperlink r:id="rId11">
        <w:r>
          <w:rPr>
            <w:color w:val="0000FF"/>
            <w:sz w:val="22"/>
            <w:szCs w:val="22"/>
            <w:u w:val="single"/>
          </w:rPr>
          <w:t>covenant-mailbox@mod.uk</w:t>
        </w:r>
      </w:hyperlink>
    </w:p>
    <w:p w:rsidR="00E027CC" w:rsidRDefault="00346DA8">
      <w:pPr>
        <w:pStyle w:val="Heading2"/>
        <w:rPr>
          <w:sz w:val="22"/>
          <w:szCs w:val="22"/>
        </w:rPr>
      </w:pPr>
      <w:r>
        <w:rPr>
          <w:sz w:val="22"/>
          <w:szCs w:val="22"/>
        </w:rPr>
        <w:t>Address: Armed Forces Covenant Team, Zone D, 6th Floor, Ministry of Defence, Main Building, Whitehall, London SW1A 2HB.</w:t>
      </w:r>
    </w:p>
    <w:p w:rsidR="00E027CC" w:rsidRDefault="00346DA8" w:rsidP="00FB781C">
      <w:pPr>
        <w:pStyle w:val="Heading2"/>
        <w:numPr>
          <w:ilvl w:val="1"/>
          <w:numId w:val="3"/>
        </w:numPr>
        <w:jc w:val="left"/>
      </w:pPr>
      <w:r>
        <w:rPr>
          <w:sz w:val="22"/>
          <w:szCs w:val="22"/>
        </w:rPr>
        <w:t>Paragraphs 14.1 to 14.5 above are not a condition of working with the Authority now or in the future, nor will this issue form any part of the tender evaluation, contract award procedure or any resulting contract. However, the Authority very much hopes you will want to provide your support.</w:t>
      </w:r>
      <w:r>
        <w:br w:type="page"/>
      </w:r>
      <w:r>
        <w:rPr>
          <w:b/>
          <w:sz w:val="22"/>
          <w:szCs w:val="22"/>
        </w:rPr>
        <w:lastRenderedPageBreak/>
        <w:t>15</w:t>
      </w:r>
      <w:r>
        <w:rPr>
          <w:b/>
        </w:rPr>
        <w:t xml:space="preserve"> </w:t>
      </w:r>
      <w:r>
        <w:rPr>
          <w:b/>
          <w:smallCaps/>
          <w:sz w:val="22"/>
          <w:szCs w:val="22"/>
        </w:rPr>
        <w:t>GLOSSARY</w:t>
      </w:r>
    </w:p>
    <w:tbl>
      <w:tblPr>
        <w:tblStyle w:val="a5"/>
        <w:tblW w:w="8567"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52"/>
        <w:gridCol w:w="6015"/>
      </w:tblGrid>
      <w:tr w:rsidR="00E027CC" w:rsidTr="00FB781C">
        <w:tc>
          <w:tcPr>
            <w:tcW w:w="2552" w:type="dxa"/>
            <w:vAlign w:val="center"/>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Attachment</w:t>
            </w:r>
          </w:p>
        </w:tc>
        <w:tc>
          <w:tcPr>
            <w:tcW w:w="6015" w:type="dxa"/>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means a document made available to Potential Providers in relation to this Procurement via the e-Sourcing Suite,</w:t>
            </w:r>
          </w:p>
        </w:tc>
      </w:tr>
      <w:tr w:rsidR="00E027CC" w:rsidTr="00FB781C">
        <w:tc>
          <w:tcPr>
            <w:tcW w:w="2552" w:type="dxa"/>
            <w:vAlign w:val="center"/>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Authority</w:t>
            </w:r>
          </w:p>
        </w:tc>
        <w:tc>
          <w:tcPr>
            <w:tcW w:w="6015" w:type="dxa"/>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means the Minister for the Cabinet Office (“</w:t>
            </w:r>
            <w:r>
              <w:rPr>
                <w:rFonts w:ascii="Arial" w:eastAsia="Arial" w:hAnsi="Arial" w:cs="Arial"/>
                <w:b/>
                <w:color w:val="000000"/>
                <w:sz w:val="22"/>
                <w:szCs w:val="22"/>
              </w:rPr>
              <w:t>Cabinet Office</w:t>
            </w:r>
            <w:r>
              <w:rPr>
                <w:rFonts w:ascii="Arial" w:eastAsia="Arial" w:hAnsi="Arial" w:cs="Arial"/>
                <w:color w:val="000000"/>
                <w:sz w:val="22"/>
                <w:szCs w:val="22"/>
              </w:rPr>
              <w:t xml:space="preserve">”) represented by Crown Commercial Service which is a trading fund of the Cabinet Office whose offices are located at 9th Floor, The Capital, Old Hall Street, Liverpool, L3 9PP. </w:t>
            </w:r>
          </w:p>
        </w:tc>
      </w:tr>
      <w:tr w:rsidR="00E027CC" w:rsidTr="00FB781C">
        <w:tc>
          <w:tcPr>
            <w:tcW w:w="2552" w:type="dxa"/>
            <w:vAlign w:val="center"/>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Award Questionnaire</w:t>
            </w:r>
            <w:r w:rsidR="00C62031">
              <w:rPr>
                <w:rFonts w:ascii="Arial" w:eastAsia="Arial" w:hAnsi="Arial" w:cs="Arial"/>
                <w:color w:val="000000"/>
                <w:sz w:val="22"/>
                <w:szCs w:val="22"/>
              </w:rPr>
              <w:t xml:space="preserve"> or Technical Envelope</w:t>
            </w:r>
          </w:p>
        </w:tc>
        <w:tc>
          <w:tcPr>
            <w:tcW w:w="6015" w:type="dxa"/>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means the award questionnaire a copy of which is provided at Attachment 3 and set out in the on line e-Sourcing Suite;</w:t>
            </w:r>
          </w:p>
        </w:tc>
      </w:tr>
      <w:tr w:rsidR="00E027CC" w:rsidTr="00FB781C">
        <w:tc>
          <w:tcPr>
            <w:tcW w:w="2552" w:type="dxa"/>
            <w:vAlign w:val="center"/>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Award Stage</w:t>
            </w:r>
          </w:p>
        </w:tc>
        <w:tc>
          <w:tcPr>
            <w:tcW w:w="6015" w:type="dxa"/>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means the part of the evaluation process described in paragraph 11;</w:t>
            </w:r>
          </w:p>
        </w:tc>
      </w:tr>
      <w:tr w:rsidR="00E027CC" w:rsidTr="00FB781C">
        <w:tc>
          <w:tcPr>
            <w:tcW w:w="2552" w:type="dxa"/>
            <w:vAlign w:val="center"/>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Bid Fields</w:t>
            </w:r>
          </w:p>
        </w:tc>
        <w:tc>
          <w:tcPr>
            <w:tcW w:w="6015" w:type="dxa"/>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mean the bid fields set out in the on line e-Sourcing Suite;</w:t>
            </w:r>
          </w:p>
        </w:tc>
      </w:tr>
      <w:tr w:rsidR="00E027CC" w:rsidTr="00FB781C">
        <w:tc>
          <w:tcPr>
            <w:tcW w:w="2552" w:type="dxa"/>
            <w:vAlign w:val="center"/>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Call-Off Contract</w:t>
            </w:r>
          </w:p>
        </w:tc>
        <w:tc>
          <w:tcPr>
            <w:tcW w:w="6015" w:type="dxa"/>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proofErr w:type="gramStart"/>
            <w:r>
              <w:rPr>
                <w:rFonts w:ascii="Arial" w:eastAsia="Arial" w:hAnsi="Arial" w:cs="Arial"/>
                <w:color w:val="000000"/>
                <w:sz w:val="22"/>
                <w:szCs w:val="22"/>
              </w:rPr>
              <w:t>means</w:t>
            </w:r>
            <w:proofErr w:type="gramEnd"/>
            <w:r>
              <w:rPr>
                <w:rFonts w:ascii="Arial" w:eastAsia="Arial" w:hAnsi="Arial" w:cs="Arial"/>
                <w:color w:val="000000"/>
                <w:sz w:val="22"/>
                <w:szCs w:val="22"/>
              </w:rPr>
              <w:t xml:space="preserve"> a contract awarded by a Contracting Authority under the terms of the Framework Agreement a draft of which is at Attachment 4. The template call-off contract terms and conditions, to be used for every Call-Off Contract awarded under the terms of the Framework Agreement, are at Attachment 5;</w:t>
            </w:r>
          </w:p>
        </w:tc>
      </w:tr>
      <w:tr w:rsidR="00E027CC" w:rsidTr="00FB781C">
        <w:tc>
          <w:tcPr>
            <w:tcW w:w="2552" w:type="dxa"/>
            <w:vAlign w:val="center"/>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Consensus Marking Procedure</w:t>
            </w:r>
          </w:p>
        </w:tc>
        <w:tc>
          <w:tcPr>
            <w:tcW w:w="6015" w:type="dxa"/>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means the evaluation procedure described in paragraph 8.2;</w:t>
            </w:r>
          </w:p>
        </w:tc>
      </w:tr>
      <w:tr w:rsidR="00E027CC" w:rsidTr="00FB781C">
        <w:tc>
          <w:tcPr>
            <w:tcW w:w="2552" w:type="dxa"/>
            <w:vAlign w:val="center"/>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Contracting Authority</w:t>
            </w:r>
          </w:p>
        </w:tc>
        <w:tc>
          <w:tcPr>
            <w:tcW w:w="6015" w:type="dxa"/>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means the Authority and/or any other contracting authorities (within the meaning of the Regulations) described in the OJEU Contract Notice;</w:t>
            </w:r>
          </w:p>
        </w:tc>
      </w:tr>
      <w:tr w:rsidR="00E027CC" w:rsidTr="00FB781C">
        <w:tc>
          <w:tcPr>
            <w:tcW w:w="2552" w:type="dxa"/>
            <w:shd w:val="clear" w:color="auto" w:fill="auto"/>
            <w:vAlign w:val="center"/>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highlight w:val="red"/>
              </w:rPr>
            </w:pPr>
            <w:r>
              <w:rPr>
                <w:rFonts w:ascii="Arial" w:eastAsia="Arial" w:hAnsi="Arial" w:cs="Arial"/>
                <w:color w:val="000000"/>
                <w:sz w:val="22"/>
                <w:szCs w:val="22"/>
              </w:rPr>
              <w:t>Credit Reference Agency</w:t>
            </w:r>
          </w:p>
        </w:tc>
        <w:tc>
          <w:tcPr>
            <w:tcW w:w="6015" w:type="dxa"/>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highlight w:val="red"/>
              </w:rPr>
            </w:pPr>
            <w:r>
              <w:rPr>
                <w:rFonts w:ascii="Arial" w:eastAsia="Arial" w:hAnsi="Arial" w:cs="Arial"/>
                <w:color w:val="000000"/>
                <w:sz w:val="22"/>
                <w:szCs w:val="22"/>
              </w:rPr>
              <w:t>means an independent organisation (currently Dun &amp;   Bradstreet) licenced by the Financial Conduct Authority  that holds financial risk information on a broad range of organisations;</w:t>
            </w:r>
          </w:p>
        </w:tc>
      </w:tr>
      <w:tr w:rsidR="00E027CC" w:rsidTr="00FB781C">
        <w:tc>
          <w:tcPr>
            <w:tcW w:w="2552" w:type="dxa"/>
            <w:vAlign w:val="center"/>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e-Sourcing Suite</w:t>
            </w:r>
          </w:p>
        </w:tc>
        <w:tc>
          <w:tcPr>
            <w:tcW w:w="6015" w:type="dxa"/>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means the online tender management and administration system used by the Authority;</w:t>
            </w:r>
          </w:p>
        </w:tc>
      </w:tr>
      <w:tr w:rsidR="00E027CC" w:rsidTr="00FB781C">
        <w:tc>
          <w:tcPr>
            <w:tcW w:w="2552" w:type="dxa"/>
            <w:vAlign w:val="center"/>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Final Score</w:t>
            </w:r>
          </w:p>
        </w:tc>
        <w:tc>
          <w:tcPr>
            <w:tcW w:w="6015" w:type="dxa"/>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means the score achieved by a Tender at the conclusion of the Award Stage evaluation calculated in accordance with paragraph 11.</w:t>
            </w:r>
            <w:r>
              <w:rPr>
                <w:rFonts w:ascii="Arial" w:eastAsia="Arial" w:hAnsi="Arial" w:cs="Arial"/>
                <w:sz w:val="22"/>
                <w:szCs w:val="22"/>
              </w:rPr>
              <w:t>7</w:t>
            </w:r>
            <w:r>
              <w:rPr>
                <w:rFonts w:ascii="Arial" w:eastAsia="Arial" w:hAnsi="Arial" w:cs="Arial"/>
                <w:color w:val="000000"/>
                <w:sz w:val="22"/>
                <w:szCs w:val="22"/>
              </w:rPr>
              <w:t>;</w:t>
            </w:r>
          </w:p>
        </w:tc>
      </w:tr>
      <w:tr w:rsidR="00E027CC" w:rsidTr="00FB781C">
        <w:trPr>
          <w:trHeight w:val="980"/>
        </w:trPr>
        <w:tc>
          <w:tcPr>
            <w:tcW w:w="2552" w:type="dxa"/>
            <w:vAlign w:val="center"/>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Framework Agreement</w:t>
            </w:r>
          </w:p>
        </w:tc>
        <w:tc>
          <w:tcPr>
            <w:tcW w:w="6015" w:type="dxa"/>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means the contractually-binding terms and conditions set out at Attachment 4 of this ITT to be entered into between the Authority and the successful Potential Provider(s) at the conclusion of this Procurement;</w:t>
            </w:r>
          </w:p>
        </w:tc>
      </w:tr>
      <w:tr w:rsidR="00E027CC" w:rsidTr="00FB781C">
        <w:tc>
          <w:tcPr>
            <w:tcW w:w="2552" w:type="dxa"/>
            <w:vAlign w:val="center"/>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Framework Guarantee</w:t>
            </w:r>
          </w:p>
        </w:tc>
        <w:tc>
          <w:tcPr>
            <w:tcW w:w="6015" w:type="dxa"/>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means a deed of guarantee in favour of the Authority in the form set out in Framework Schedule 13 (Framework Guarantee) granted pursuant to Clause 8 of the Framework Agreement (Guarantee);</w:t>
            </w:r>
          </w:p>
        </w:tc>
      </w:tr>
      <w:tr w:rsidR="00E027CC" w:rsidTr="00FB781C">
        <w:tc>
          <w:tcPr>
            <w:tcW w:w="2552" w:type="dxa"/>
            <w:vAlign w:val="center"/>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Framework Guarantor</w:t>
            </w:r>
          </w:p>
        </w:tc>
        <w:tc>
          <w:tcPr>
            <w:tcW w:w="6015" w:type="dxa"/>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means any person acceptable to the Authority to give a Framework Guarantee;</w:t>
            </w:r>
          </w:p>
        </w:tc>
      </w:tr>
      <w:tr w:rsidR="00E027CC" w:rsidTr="00FB781C">
        <w:tc>
          <w:tcPr>
            <w:tcW w:w="2552" w:type="dxa"/>
            <w:vAlign w:val="center"/>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Framework Schedule</w:t>
            </w:r>
          </w:p>
        </w:tc>
        <w:tc>
          <w:tcPr>
            <w:tcW w:w="6015" w:type="dxa"/>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means a schedule to the Framework Agreement;</w:t>
            </w:r>
          </w:p>
        </w:tc>
      </w:tr>
      <w:tr w:rsidR="00E027CC" w:rsidTr="00FB781C">
        <w:tc>
          <w:tcPr>
            <w:tcW w:w="2552" w:type="dxa"/>
            <w:vAlign w:val="center"/>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lastRenderedPageBreak/>
              <w:t>Goods and Services</w:t>
            </w:r>
          </w:p>
        </w:tc>
        <w:tc>
          <w:tcPr>
            <w:tcW w:w="6015" w:type="dxa"/>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means the goods and services that may be provided by Suppliers, as set out at Framework Schedule 2;</w:t>
            </w:r>
          </w:p>
        </w:tc>
      </w:tr>
      <w:tr w:rsidR="00E027CC" w:rsidTr="00FB781C">
        <w:tc>
          <w:tcPr>
            <w:tcW w:w="2552" w:type="dxa"/>
            <w:vAlign w:val="center"/>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 xml:space="preserve">Group </w:t>
            </w:r>
          </w:p>
        </w:tc>
        <w:tc>
          <w:tcPr>
            <w:tcW w:w="6015" w:type="dxa"/>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proofErr w:type="gramStart"/>
            <w:r>
              <w:rPr>
                <w:rFonts w:ascii="Arial" w:eastAsia="Arial" w:hAnsi="Arial" w:cs="Arial"/>
                <w:color w:val="000000"/>
                <w:sz w:val="22"/>
                <w:szCs w:val="22"/>
              </w:rPr>
              <w:t>means</w:t>
            </w:r>
            <w:proofErr w:type="gramEnd"/>
            <w:r>
              <w:rPr>
                <w:rFonts w:ascii="Arial" w:eastAsia="Arial" w:hAnsi="Arial" w:cs="Arial"/>
                <w:color w:val="000000"/>
                <w:sz w:val="22"/>
                <w:szCs w:val="22"/>
              </w:rPr>
              <w:t xml:space="preserve"> in relation to a company, that company, any subsidiary or holding company from time to time of that company, and any subsidiary from time to time of a holding company of that company. Holding company and subsidiary shall mean a "holding company" and "subsidiary" that latter term being defined in section 1159 of the Companies Act 2006;</w:t>
            </w:r>
          </w:p>
        </w:tc>
      </w:tr>
      <w:tr w:rsidR="00E027CC" w:rsidTr="00FB781C">
        <w:tc>
          <w:tcPr>
            <w:tcW w:w="2552" w:type="dxa"/>
            <w:vAlign w:val="center"/>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Group of Economic Operators (or Consortium)</w:t>
            </w:r>
          </w:p>
        </w:tc>
        <w:tc>
          <w:tcPr>
            <w:tcW w:w="6015" w:type="dxa"/>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means a group of economic operators acting jointly and severally to provide the Goods and Services;</w:t>
            </w:r>
          </w:p>
        </w:tc>
      </w:tr>
      <w:tr w:rsidR="00E027CC" w:rsidTr="00FB781C">
        <w:tc>
          <w:tcPr>
            <w:tcW w:w="2552" w:type="dxa"/>
            <w:vAlign w:val="center"/>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Invitation to Tender or ITT</w:t>
            </w:r>
          </w:p>
        </w:tc>
        <w:tc>
          <w:tcPr>
            <w:tcW w:w="6015" w:type="dxa"/>
          </w:tcPr>
          <w:p w:rsidR="00E027CC" w:rsidRDefault="00346DA8">
            <w:pPr>
              <w:pBdr>
                <w:top w:val="nil"/>
                <w:left w:val="nil"/>
                <w:bottom w:val="nil"/>
                <w:right w:val="nil"/>
                <w:between w:val="nil"/>
              </w:pBdr>
              <w:spacing w:before="60" w:after="60"/>
              <w:jc w:val="left"/>
              <w:rPr>
                <w:rFonts w:ascii="Arial" w:eastAsia="Arial" w:hAnsi="Arial" w:cs="Arial"/>
                <w:b/>
                <w:color w:val="000000"/>
                <w:sz w:val="22"/>
                <w:szCs w:val="22"/>
              </w:rPr>
            </w:pPr>
            <w:r>
              <w:rPr>
                <w:rFonts w:ascii="Arial" w:eastAsia="Arial" w:hAnsi="Arial" w:cs="Arial"/>
                <w:color w:val="000000"/>
                <w:sz w:val="22"/>
                <w:szCs w:val="22"/>
              </w:rPr>
              <w:t>means</w:t>
            </w:r>
            <w:r>
              <w:rPr>
                <w:rFonts w:ascii="Arial" w:eastAsia="Arial" w:hAnsi="Arial" w:cs="Arial"/>
                <w:b/>
                <w:color w:val="000000"/>
                <w:sz w:val="22"/>
                <w:szCs w:val="22"/>
              </w:rPr>
              <w:t xml:space="preserve"> </w:t>
            </w:r>
            <w:r>
              <w:rPr>
                <w:rFonts w:ascii="Arial" w:eastAsia="Arial" w:hAnsi="Arial" w:cs="Arial"/>
                <w:color w:val="000000"/>
                <w:sz w:val="22"/>
                <w:szCs w:val="22"/>
              </w:rPr>
              <w:t>this invitation to tender document together with its Attachments, published by the Authority in relation to this Procurement;</w:t>
            </w:r>
          </w:p>
        </w:tc>
      </w:tr>
      <w:tr w:rsidR="00E027CC" w:rsidTr="00FB781C">
        <w:tc>
          <w:tcPr>
            <w:tcW w:w="2552" w:type="dxa"/>
            <w:vAlign w:val="center"/>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Lead Contact</w:t>
            </w:r>
          </w:p>
        </w:tc>
        <w:tc>
          <w:tcPr>
            <w:tcW w:w="6015" w:type="dxa"/>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 xml:space="preserve">means the member of the Group of Economic Operators who is authorised in writing by each of the other members to that Group of Economic Operators to provide the Tender (including the responses to the Selection Questionnaire and the Award Questionnaire) </w:t>
            </w:r>
          </w:p>
        </w:tc>
      </w:tr>
      <w:tr w:rsidR="00E027CC" w:rsidTr="00FB781C">
        <w:tc>
          <w:tcPr>
            <w:tcW w:w="2552" w:type="dxa"/>
            <w:vAlign w:val="center"/>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Management Charge</w:t>
            </w:r>
          </w:p>
        </w:tc>
        <w:tc>
          <w:tcPr>
            <w:tcW w:w="6015" w:type="dxa"/>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highlight w:val="yellow"/>
              </w:rPr>
            </w:pPr>
            <w:r>
              <w:rPr>
                <w:rFonts w:ascii="Arial" w:eastAsia="Arial" w:hAnsi="Arial" w:cs="Arial"/>
                <w:color w:val="000000"/>
                <w:sz w:val="22"/>
                <w:szCs w:val="22"/>
              </w:rPr>
              <w:t>means the sum paid by the Supplier to the Authority being an amount of one per cent (1%) of all charges for the goods</w:t>
            </w:r>
            <w:r>
              <w:rPr>
                <w:rFonts w:ascii="Arial" w:eastAsia="Arial" w:hAnsi="Arial" w:cs="Arial"/>
                <w:sz w:val="22"/>
                <w:szCs w:val="22"/>
              </w:rPr>
              <w:t xml:space="preserve"> and</w:t>
            </w:r>
            <w:r>
              <w:rPr>
                <w:rFonts w:ascii="Arial" w:eastAsia="Arial" w:hAnsi="Arial" w:cs="Arial"/>
                <w:color w:val="000000"/>
                <w:sz w:val="22"/>
                <w:szCs w:val="22"/>
              </w:rPr>
              <w:t xml:space="preserve"> services invoiced to Contracting Authorities (net of VAT) in each month throughout the term and thereafter until the expiry or earlier termination of any Call-Off Contract;</w:t>
            </w:r>
          </w:p>
        </w:tc>
      </w:tr>
      <w:tr w:rsidR="00E027CC" w:rsidTr="00FB781C">
        <w:tc>
          <w:tcPr>
            <w:tcW w:w="2552" w:type="dxa"/>
            <w:vAlign w:val="center"/>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Management Information or MI</w:t>
            </w:r>
          </w:p>
        </w:tc>
        <w:tc>
          <w:tcPr>
            <w:tcW w:w="6015" w:type="dxa"/>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means the management information specified in Framework Schedule 9;</w:t>
            </w:r>
          </w:p>
        </w:tc>
      </w:tr>
      <w:tr w:rsidR="00E027CC" w:rsidTr="00FB781C">
        <w:tc>
          <w:tcPr>
            <w:tcW w:w="2552" w:type="dxa"/>
            <w:vAlign w:val="center"/>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Marking Scheme</w:t>
            </w:r>
          </w:p>
        </w:tc>
        <w:tc>
          <w:tcPr>
            <w:tcW w:w="6015" w:type="dxa"/>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means the range of marks that may be given to a Potential Provider by the Authority according to Attachment 2 - Selection Questionnaire and Evaluation Guidance, and Attachment 3 - Award Questionnaire and Evaluation Guidance;</w:t>
            </w:r>
          </w:p>
        </w:tc>
      </w:tr>
      <w:tr w:rsidR="00E027CC" w:rsidTr="00FB781C">
        <w:tc>
          <w:tcPr>
            <w:tcW w:w="2552" w:type="dxa"/>
            <w:vAlign w:val="center"/>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Maximum Score Available</w:t>
            </w:r>
          </w:p>
        </w:tc>
        <w:tc>
          <w:tcPr>
            <w:tcW w:w="6015" w:type="dxa"/>
          </w:tcPr>
          <w:p w:rsidR="00E027CC" w:rsidRDefault="00346DA8">
            <w:pPr>
              <w:pBdr>
                <w:top w:val="nil"/>
                <w:left w:val="nil"/>
                <w:bottom w:val="nil"/>
                <w:right w:val="nil"/>
                <w:between w:val="nil"/>
              </w:pBdr>
              <w:spacing w:before="60" w:after="60"/>
              <w:jc w:val="left"/>
              <w:rPr>
                <w:rFonts w:ascii="Arial" w:eastAsia="Arial" w:hAnsi="Arial" w:cs="Arial"/>
                <w:b/>
                <w:color w:val="000000"/>
                <w:sz w:val="22"/>
                <w:szCs w:val="22"/>
              </w:rPr>
            </w:pPr>
            <w:r>
              <w:rPr>
                <w:rFonts w:ascii="Arial" w:eastAsia="Arial" w:hAnsi="Arial" w:cs="Arial"/>
                <w:color w:val="000000"/>
                <w:sz w:val="22"/>
                <w:szCs w:val="22"/>
              </w:rPr>
              <w:t>means the maximum potential score (weighting) that can be awarded for a response to a question as set out in the table at paragraph 11;</w:t>
            </w:r>
          </w:p>
        </w:tc>
      </w:tr>
      <w:tr w:rsidR="00E027CC">
        <w:tc>
          <w:tcPr>
            <w:tcW w:w="2552" w:type="dxa"/>
            <w:vAlign w:val="center"/>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sz w:val="22"/>
                <w:szCs w:val="22"/>
              </w:rPr>
              <w:t>Minimum Quality Threshold</w:t>
            </w:r>
          </w:p>
        </w:tc>
        <w:tc>
          <w:tcPr>
            <w:tcW w:w="6015" w:type="dxa"/>
          </w:tcPr>
          <w:p w:rsidR="00E027CC" w:rsidRDefault="00346DA8">
            <w:pPr>
              <w:spacing w:after="160" w:line="259" w:lineRule="auto"/>
              <w:rPr>
                <w:rFonts w:ascii="Arial" w:eastAsia="Arial" w:hAnsi="Arial" w:cs="Arial"/>
                <w:sz w:val="22"/>
                <w:szCs w:val="22"/>
              </w:rPr>
            </w:pPr>
            <w:r>
              <w:rPr>
                <w:rFonts w:ascii="Arial" w:eastAsia="Arial" w:hAnsi="Arial" w:cs="Arial"/>
                <w:sz w:val="22"/>
                <w:szCs w:val="22"/>
              </w:rPr>
              <w:t>means the minimum Quality Score a Potential Provider must achieve in order to progress to the Price Evaluation;</w:t>
            </w:r>
          </w:p>
        </w:tc>
      </w:tr>
      <w:tr w:rsidR="00E027CC" w:rsidTr="00FB781C">
        <w:tc>
          <w:tcPr>
            <w:tcW w:w="2552" w:type="dxa"/>
            <w:vAlign w:val="center"/>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Occasion of Tax Non-Compliance</w:t>
            </w:r>
          </w:p>
        </w:tc>
        <w:tc>
          <w:tcPr>
            <w:tcW w:w="6015" w:type="dxa"/>
          </w:tcPr>
          <w:p w:rsidR="00E027CC" w:rsidRDefault="00346DA8">
            <w:pPr>
              <w:spacing w:after="160" w:line="259" w:lineRule="auto"/>
              <w:rPr>
                <w:rFonts w:ascii="Arial" w:eastAsia="Arial" w:hAnsi="Arial" w:cs="Arial"/>
                <w:sz w:val="22"/>
                <w:szCs w:val="22"/>
              </w:rPr>
            </w:pPr>
            <w:r>
              <w:rPr>
                <w:rFonts w:ascii="Arial" w:eastAsia="Arial" w:hAnsi="Arial" w:cs="Arial"/>
                <w:sz w:val="22"/>
                <w:szCs w:val="22"/>
              </w:rPr>
              <w:t xml:space="preserve">means: </w:t>
            </w:r>
          </w:p>
          <w:p w:rsidR="00E027CC" w:rsidRDefault="00346DA8">
            <w:pPr>
              <w:spacing w:after="160" w:line="259" w:lineRule="auto"/>
              <w:ind w:left="720"/>
              <w:rPr>
                <w:rFonts w:ascii="Arial" w:eastAsia="Arial" w:hAnsi="Arial" w:cs="Arial"/>
                <w:sz w:val="22"/>
                <w:szCs w:val="22"/>
              </w:rPr>
            </w:pPr>
            <w:r>
              <w:rPr>
                <w:rFonts w:ascii="Arial" w:eastAsia="Arial" w:hAnsi="Arial" w:cs="Arial"/>
                <w:sz w:val="22"/>
                <w:szCs w:val="22"/>
              </w:rPr>
              <w:t>(a)</w:t>
            </w:r>
            <w:r>
              <w:rPr>
                <w:rFonts w:ascii="Arial" w:eastAsia="Arial" w:hAnsi="Arial" w:cs="Arial"/>
                <w:sz w:val="22"/>
                <w:szCs w:val="22"/>
              </w:rPr>
              <w:tab/>
              <w:t xml:space="preserve">any tax return of the Supplier submitted to a Relevant Tax Authority on or after 1 October 2012 is found to be incorrect as a result of: </w:t>
            </w:r>
          </w:p>
          <w:p w:rsidR="00E027CC" w:rsidRDefault="00346DA8">
            <w:pPr>
              <w:spacing w:after="160" w:line="259" w:lineRule="auto"/>
              <w:ind w:left="1440"/>
              <w:rPr>
                <w:rFonts w:ascii="Arial" w:eastAsia="Arial" w:hAnsi="Arial" w:cs="Arial"/>
                <w:sz w:val="22"/>
                <w:szCs w:val="22"/>
              </w:rPr>
            </w:pPr>
            <w:r>
              <w:rPr>
                <w:rFonts w:ascii="Arial" w:eastAsia="Arial" w:hAnsi="Arial" w:cs="Arial"/>
                <w:sz w:val="22"/>
                <w:szCs w:val="22"/>
              </w:rPr>
              <w:t>1.</w:t>
            </w:r>
            <w:r>
              <w:rPr>
                <w:rFonts w:ascii="Arial" w:eastAsia="Arial" w:hAnsi="Arial" w:cs="Arial"/>
                <w:sz w:val="22"/>
                <w:szCs w:val="22"/>
              </w:rPr>
              <w:tab/>
              <w:t xml:space="preserve">a Relevant Tax Authority successfully challenging the Supplier under the General Anti-Abuse Rule or the Halifax Abuse Principle or under any tax rules or legislation </w:t>
            </w:r>
            <w:r>
              <w:rPr>
                <w:rFonts w:ascii="Arial" w:eastAsia="Arial" w:hAnsi="Arial" w:cs="Arial"/>
                <w:sz w:val="22"/>
                <w:szCs w:val="22"/>
              </w:rPr>
              <w:lastRenderedPageBreak/>
              <w:t xml:space="preserve">that have an effect equivalent or similar to the General Anti-Abuse Rule or the Halifax Abuse Principle; </w:t>
            </w:r>
          </w:p>
          <w:p w:rsidR="00E027CC" w:rsidRDefault="00346DA8">
            <w:pPr>
              <w:spacing w:after="160" w:line="259" w:lineRule="auto"/>
              <w:ind w:left="1440"/>
              <w:rPr>
                <w:rFonts w:ascii="Arial" w:eastAsia="Arial" w:hAnsi="Arial" w:cs="Arial"/>
                <w:sz w:val="22"/>
                <w:szCs w:val="22"/>
              </w:rPr>
            </w:pPr>
            <w:r>
              <w:rPr>
                <w:rFonts w:ascii="Arial" w:eastAsia="Arial" w:hAnsi="Arial" w:cs="Arial"/>
                <w:sz w:val="22"/>
                <w:szCs w:val="22"/>
              </w:rPr>
              <w:t>2.</w:t>
            </w:r>
            <w:r>
              <w:rPr>
                <w:rFonts w:ascii="Arial" w:eastAsia="Arial" w:hAnsi="Arial" w:cs="Arial"/>
                <w:sz w:val="22"/>
                <w:szCs w:val="22"/>
              </w:rPr>
              <w:tab/>
              <w:t xml:space="preserve">the failure of an avoidance scheme which the Supplier was involved in, and which was, or should have been, notified to a Relevant Tax Authority under the DOTAS or any equivalent or similar regime; and/or </w:t>
            </w:r>
          </w:p>
          <w:p w:rsidR="00E027CC" w:rsidRDefault="00346DA8">
            <w:pPr>
              <w:pBdr>
                <w:top w:val="nil"/>
                <w:left w:val="nil"/>
                <w:bottom w:val="nil"/>
                <w:right w:val="nil"/>
                <w:between w:val="nil"/>
              </w:pBdr>
              <w:spacing w:before="60" w:after="60"/>
              <w:ind w:left="720"/>
              <w:jc w:val="left"/>
              <w:rPr>
                <w:rFonts w:ascii="Arial" w:eastAsia="Arial" w:hAnsi="Arial" w:cs="Arial"/>
                <w:color w:val="000000"/>
                <w:sz w:val="22"/>
                <w:szCs w:val="22"/>
              </w:rPr>
            </w:pPr>
            <w:r>
              <w:rPr>
                <w:rFonts w:ascii="Arial" w:eastAsia="Arial" w:hAnsi="Arial" w:cs="Arial"/>
                <w:color w:val="000000"/>
                <w:sz w:val="22"/>
                <w:szCs w:val="22"/>
              </w:rPr>
              <w:t>(b)</w:t>
            </w:r>
            <w:r>
              <w:rPr>
                <w:rFonts w:ascii="Arial" w:eastAsia="Arial" w:hAnsi="Arial" w:cs="Arial"/>
                <w:color w:val="000000"/>
                <w:sz w:val="22"/>
                <w:szCs w:val="22"/>
              </w:rPr>
              <w:tab/>
            </w:r>
            <w:proofErr w:type="gramStart"/>
            <w:r>
              <w:rPr>
                <w:rFonts w:ascii="Arial" w:eastAsia="Arial" w:hAnsi="Arial" w:cs="Arial"/>
                <w:color w:val="000000"/>
                <w:sz w:val="22"/>
                <w:szCs w:val="22"/>
              </w:rPr>
              <w:t>the</w:t>
            </w:r>
            <w:proofErr w:type="gramEnd"/>
            <w:r>
              <w:rPr>
                <w:rFonts w:ascii="Arial" w:eastAsia="Arial" w:hAnsi="Arial" w:cs="Arial"/>
                <w:color w:val="000000"/>
                <w:sz w:val="22"/>
                <w:szCs w:val="22"/>
              </w:rPr>
              <w:t xml:space="preserve"> Supplier’s tax affairs give rise on or after 1 April 2013 to a criminal conviction in any jurisdiction for tax related offences which is not spent at the Effective Date or to a penalty for civil fraud or evasion.</w:t>
            </w:r>
          </w:p>
        </w:tc>
      </w:tr>
      <w:tr w:rsidR="00E027CC" w:rsidTr="00FB781C">
        <w:tc>
          <w:tcPr>
            <w:tcW w:w="2552" w:type="dxa"/>
            <w:vAlign w:val="center"/>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lastRenderedPageBreak/>
              <w:t>OJEU Contract Notice</w:t>
            </w:r>
          </w:p>
        </w:tc>
        <w:tc>
          <w:tcPr>
            <w:tcW w:w="6015" w:type="dxa"/>
          </w:tcPr>
          <w:p w:rsidR="00E027CC" w:rsidRDefault="00346DA8">
            <w:pPr>
              <w:pBdr>
                <w:top w:val="nil"/>
                <w:left w:val="nil"/>
                <w:bottom w:val="nil"/>
                <w:right w:val="nil"/>
                <w:between w:val="nil"/>
              </w:pBdr>
              <w:spacing w:before="60" w:after="60"/>
              <w:jc w:val="left"/>
              <w:rPr>
                <w:rFonts w:ascii="Arial" w:eastAsia="Arial" w:hAnsi="Arial" w:cs="Arial"/>
                <w:b/>
                <w:color w:val="000000"/>
                <w:sz w:val="22"/>
                <w:szCs w:val="22"/>
              </w:rPr>
            </w:pPr>
            <w:r>
              <w:rPr>
                <w:rFonts w:ascii="Arial" w:eastAsia="Arial" w:hAnsi="Arial" w:cs="Arial"/>
                <w:color w:val="000000"/>
                <w:sz w:val="22"/>
                <w:szCs w:val="22"/>
              </w:rPr>
              <w:t>means the advertisement for this Procurement issued in the Official Journal of the European Union;</w:t>
            </w:r>
          </w:p>
        </w:tc>
      </w:tr>
      <w:tr w:rsidR="00E027CC" w:rsidTr="00FB781C">
        <w:tc>
          <w:tcPr>
            <w:tcW w:w="2552" w:type="dxa"/>
            <w:vAlign w:val="center"/>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Potential Provider</w:t>
            </w:r>
          </w:p>
        </w:tc>
        <w:tc>
          <w:tcPr>
            <w:tcW w:w="6015" w:type="dxa"/>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has the meaning in paragraph 6.3;</w:t>
            </w:r>
          </w:p>
        </w:tc>
      </w:tr>
      <w:tr w:rsidR="00E027CC" w:rsidTr="00FB781C">
        <w:tc>
          <w:tcPr>
            <w:tcW w:w="2552" w:type="dxa"/>
            <w:vAlign w:val="center"/>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Price Evaluation</w:t>
            </w:r>
          </w:p>
        </w:tc>
        <w:tc>
          <w:tcPr>
            <w:tcW w:w="6015" w:type="dxa"/>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means part of the Award Stage used to evaluate the charges tendered by a Potential Provider</w:t>
            </w:r>
            <w:r w:rsidR="00C62031">
              <w:rPr>
                <w:rFonts w:ascii="Arial" w:eastAsia="Arial" w:hAnsi="Arial" w:cs="Arial"/>
                <w:color w:val="000000"/>
                <w:sz w:val="22"/>
                <w:szCs w:val="22"/>
              </w:rPr>
              <w:t xml:space="preserve"> which is completed via the Commercial Envelope in the e-Sourcing Suite</w:t>
            </w:r>
            <w:r>
              <w:rPr>
                <w:rFonts w:ascii="Arial" w:eastAsia="Arial" w:hAnsi="Arial" w:cs="Arial"/>
                <w:color w:val="000000"/>
                <w:sz w:val="22"/>
                <w:szCs w:val="22"/>
              </w:rPr>
              <w:t>;</w:t>
            </w:r>
          </w:p>
        </w:tc>
      </w:tr>
      <w:tr w:rsidR="00E027CC" w:rsidTr="00FB781C">
        <w:tc>
          <w:tcPr>
            <w:tcW w:w="2552" w:type="dxa"/>
            <w:vAlign w:val="center"/>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Price Score</w:t>
            </w:r>
          </w:p>
        </w:tc>
        <w:tc>
          <w:tcPr>
            <w:tcW w:w="6015" w:type="dxa"/>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means the score awarded to a Potential Provider at the conclusion of the Price Evaluation process calculated in accordance with paragraph 11.6;</w:t>
            </w:r>
          </w:p>
        </w:tc>
      </w:tr>
      <w:tr w:rsidR="00E027CC" w:rsidTr="00FB781C">
        <w:tc>
          <w:tcPr>
            <w:tcW w:w="2552" w:type="dxa"/>
            <w:vAlign w:val="center"/>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Procurement</w:t>
            </w:r>
          </w:p>
        </w:tc>
        <w:tc>
          <w:tcPr>
            <w:tcW w:w="6015" w:type="dxa"/>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means the process used to establish a Framework Agreement that facilitates the supply of the Goods and Services to Contracting Authorities as described in the OJEU Contract Notice;</w:t>
            </w:r>
          </w:p>
        </w:tc>
      </w:tr>
      <w:tr w:rsidR="00E027CC" w:rsidTr="00FB781C">
        <w:tc>
          <w:tcPr>
            <w:tcW w:w="2552" w:type="dxa"/>
            <w:vAlign w:val="center"/>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Public Contracts Directive</w:t>
            </w:r>
          </w:p>
        </w:tc>
        <w:tc>
          <w:tcPr>
            <w:tcW w:w="6015" w:type="dxa"/>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means Directive 2014/24/EU of the European Parliament and of the Council;</w:t>
            </w:r>
          </w:p>
        </w:tc>
      </w:tr>
      <w:tr w:rsidR="00E027CC" w:rsidTr="00FB781C">
        <w:tc>
          <w:tcPr>
            <w:tcW w:w="2552" w:type="dxa"/>
            <w:vAlign w:val="center"/>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Quality Evaluation</w:t>
            </w:r>
          </w:p>
        </w:tc>
        <w:tc>
          <w:tcPr>
            <w:tcW w:w="6015" w:type="dxa"/>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means the qualitative evaluation of a Tender undertaken during the Award Stage;</w:t>
            </w:r>
          </w:p>
        </w:tc>
      </w:tr>
      <w:tr w:rsidR="00E027CC" w:rsidTr="00FB781C">
        <w:tc>
          <w:tcPr>
            <w:tcW w:w="2552" w:type="dxa"/>
            <w:vAlign w:val="center"/>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Quality Score</w:t>
            </w:r>
          </w:p>
        </w:tc>
        <w:tc>
          <w:tcPr>
            <w:tcW w:w="6015" w:type="dxa"/>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means the score awarded to a Potential Provider at the conclusion of the Quality Evaluation process calculated in accordance with paragraph 11.5.</w:t>
            </w:r>
            <w:r>
              <w:rPr>
                <w:rFonts w:ascii="Arial" w:eastAsia="Arial" w:hAnsi="Arial" w:cs="Arial"/>
                <w:sz w:val="22"/>
                <w:szCs w:val="22"/>
              </w:rPr>
              <w:t>6</w:t>
            </w:r>
            <w:r>
              <w:rPr>
                <w:rFonts w:ascii="Arial" w:eastAsia="Arial" w:hAnsi="Arial" w:cs="Arial"/>
                <w:color w:val="000000"/>
                <w:sz w:val="22"/>
                <w:szCs w:val="22"/>
              </w:rPr>
              <w:t>;</w:t>
            </w:r>
          </w:p>
        </w:tc>
      </w:tr>
      <w:tr w:rsidR="00E027CC" w:rsidTr="00FB781C">
        <w:tc>
          <w:tcPr>
            <w:tcW w:w="2552" w:type="dxa"/>
            <w:vAlign w:val="center"/>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Regulations</w:t>
            </w:r>
          </w:p>
        </w:tc>
        <w:tc>
          <w:tcPr>
            <w:tcW w:w="6015" w:type="dxa"/>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means the Public Contracts Regulations 2015 (</w:t>
            </w:r>
            <w:hyperlink r:id="rId12">
              <w:r>
                <w:rPr>
                  <w:rFonts w:ascii="Arial" w:eastAsia="Arial" w:hAnsi="Arial" w:cs="Arial"/>
                  <w:color w:val="0000FF"/>
                  <w:sz w:val="22"/>
                  <w:szCs w:val="22"/>
                  <w:u w:val="single"/>
                </w:rPr>
                <w:t>http://www.legislation.gov.uk/uksi/2015/102/contents/made</w:t>
              </w:r>
            </w:hyperlink>
          </w:p>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and the Public Contracts (Scotland) Regulations 2012, as amended from time to time;</w:t>
            </w:r>
          </w:p>
        </w:tc>
      </w:tr>
      <w:tr w:rsidR="00E027CC" w:rsidTr="00FB781C">
        <w:tc>
          <w:tcPr>
            <w:tcW w:w="2552" w:type="dxa"/>
            <w:vAlign w:val="center"/>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Selection Questionnaire</w:t>
            </w:r>
            <w:r w:rsidR="00C62031">
              <w:rPr>
                <w:rFonts w:ascii="Arial" w:eastAsia="Arial" w:hAnsi="Arial" w:cs="Arial"/>
                <w:color w:val="000000"/>
                <w:sz w:val="22"/>
                <w:szCs w:val="22"/>
              </w:rPr>
              <w:t xml:space="preserve"> or Qualification Envelope</w:t>
            </w:r>
          </w:p>
        </w:tc>
        <w:tc>
          <w:tcPr>
            <w:tcW w:w="6015" w:type="dxa"/>
          </w:tcPr>
          <w:p w:rsidR="00E027CC" w:rsidRDefault="00346DA8">
            <w:pPr>
              <w:pBdr>
                <w:top w:val="nil"/>
                <w:left w:val="nil"/>
                <w:bottom w:val="nil"/>
                <w:right w:val="nil"/>
                <w:between w:val="nil"/>
              </w:pBdr>
              <w:spacing w:before="60" w:after="60"/>
              <w:jc w:val="left"/>
              <w:rPr>
                <w:rFonts w:ascii="Arial" w:eastAsia="Arial" w:hAnsi="Arial" w:cs="Arial"/>
                <w:b/>
                <w:color w:val="000000"/>
                <w:sz w:val="22"/>
                <w:szCs w:val="22"/>
              </w:rPr>
            </w:pPr>
            <w:r>
              <w:rPr>
                <w:rFonts w:ascii="Arial" w:eastAsia="Arial" w:hAnsi="Arial" w:cs="Arial"/>
                <w:color w:val="000000"/>
                <w:sz w:val="22"/>
                <w:szCs w:val="22"/>
              </w:rPr>
              <w:t>means the selection questionnaire a copy of which is provided at Attachment 2 and set out in the on line e-Sourcing Suite;</w:t>
            </w:r>
          </w:p>
        </w:tc>
      </w:tr>
      <w:tr w:rsidR="00E027CC" w:rsidTr="00FB781C">
        <w:tc>
          <w:tcPr>
            <w:tcW w:w="2552" w:type="dxa"/>
            <w:vAlign w:val="center"/>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Selection Stage</w:t>
            </w:r>
          </w:p>
        </w:tc>
        <w:tc>
          <w:tcPr>
            <w:tcW w:w="6015" w:type="dxa"/>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has the meaning in paragraph 10;</w:t>
            </w:r>
          </w:p>
        </w:tc>
      </w:tr>
      <w:tr w:rsidR="00E027CC" w:rsidTr="00FB781C">
        <w:tc>
          <w:tcPr>
            <w:tcW w:w="2552" w:type="dxa"/>
            <w:vAlign w:val="center"/>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Small Medium Enterprise or SME</w:t>
            </w:r>
          </w:p>
        </w:tc>
        <w:tc>
          <w:tcPr>
            <w:tcW w:w="6015" w:type="dxa"/>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proofErr w:type="gramStart"/>
            <w:r>
              <w:rPr>
                <w:rFonts w:ascii="Arial" w:eastAsia="Arial" w:hAnsi="Arial" w:cs="Arial"/>
                <w:color w:val="000000"/>
                <w:sz w:val="22"/>
                <w:szCs w:val="22"/>
              </w:rPr>
              <w:t>means</w:t>
            </w:r>
            <w:proofErr w:type="gramEnd"/>
            <w:r>
              <w:rPr>
                <w:rFonts w:ascii="Arial" w:eastAsia="Arial" w:hAnsi="Arial" w:cs="Arial"/>
                <w:color w:val="000000"/>
                <w:sz w:val="22"/>
                <w:szCs w:val="22"/>
              </w:rPr>
              <w:t xml:space="preserve"> an economic organisation  falling within the category of micro, small and medium-sized enterprises defined by the Commission Recommendation of 6 May </w:t>
            </w:r>
            <w:r>
              <w:rPr>
                <w:rFonts w:ascii="Arial" w:eastAsia="Arial" w:hAnsi="Arial" w:cs="Arial"/>
                <w:color w:val="000000"/>
                <w:sz w:val="22"/>
                <w:szCs w:val="22"/>
              </w:rPr>
              <w:lastRenderedPageBreak/>
              <w:t xml:space="preserve">2003. See also </w:t>
            </w:r>
            <w:hyperlink r:id="rId13">
              <w:r>
                <w:rPr>
                  <w:rFonts w:ascii="Arial" w:eastAsia="Arial" w:hAnsi="Arial" w:cs="Arial"/>
                  <w:color w:val="0000FF"/>
                  <w:sz w:val="22"/>
                  <w:szCs w:val="22"/>
                  <w:u w:val="single"/>
                </w:rPr>
                <w:t>http://ec.europa.eu/enterprise/policies/sme/facts-figures-analysis/sme-definition/</w:t>
              </w:r>
            </w:hyperlink>
            <w:r>
              <w:rPr>
                <w:rFonts w:ascii="Arial" w:eastAsia="Arial" w:hAnsi="Arial" w:cs="Arial"/>
                <w:color w:val="000000"/>
                <w:sz w:val="22"/>
                <w:szCs w:val="22"/>
              </w:rPr>
              <w:t>;</w:t>
            </w:r>
          </w:p>
        </w:tc>
      </w:tr>
      <w:tr w:rsidR="00E027CC" w:rsidTr="00FB781C">
        <w:tc>
          <w:tcPr>
            <w:tcW w:w="2552" w:type="dxa"/>
            <w:vAlign w:val="center"/>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lastRenderedPageBreak/>
              <w:t>Standstill Period</w:t>
            </w:r>
          </w:p>
        </w:tc>
        <w:tc>
          <w:tcPr>
            <w:tcW w:w="6015" w:type="dxa"/>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has the meaning as set out in paragraph 12.9;</w:t>
            </w:r>
          </w:p>
        </w:tc>
      </w:tr>
      <w:tr w:rsidR="00E027CC" w:rsidTr="00FB781C">
        <w:tc>
          <w:tcPr>
            <w:tcW w:w="2552" w:type="dxa"/>
            <w:vAlign w:val="center"/>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Sub-Contractor</w:t>
            </w:r>
          </w:p>
        </w:tc>
        <w:tc>
          <w:tcPr>
            <w:tcW w:w="6015" w:type="dxa"/>
          </w:tcPr>
          <w:p w:rsidR="00E027CC" w:rsidRDefault="00346DA8">
            <w:pPr>
              <w:pBdr>
                <w:top w:val="nil"/>
                <w:left w:val="nil"/>
                <w:bottom w:val="nil"/>
                <w:right w:val="nil"/>
                <w:between w:val="nil"/>
              </w:pBdr>
              <w:spacing w:before="60" w:after="60"/>
              <w:rPr>
                <w:rFonts w:ascii="Arial" w:eastAsia="Arial" w:hAnsi="Arial" w:cs="Arial"/>
                <w:color w:val="000000"/>
                <w:sz w:val="22"/>
                <w:szCs w:val="22"/>
              </w:rPr>
            </w:pPr>
            <w:r>
              <w:rPr>
                <w:rFonts w:ascii="Arial" w:eastAsia="Arial" w:hAnsi="Arial" w:cs="Arial"/>
                <w:color w:val="000000"/>
                <w:sz w:val="22"/>
                <w:szCs w:val="22"/>
              </w:rPr>
              <w:t xml:space="preserve">means a third party which: </w:t>
            </w:r>
          </w:p>
          <w:p w:rsidR="00E027CC" w:rsidRDefault="00346DA8" w:rsidP="00FB781C">
            <w:pPr>
              <w:numPr>
                <w:ilvl w:val="0"/>
                <w:numId w:val="4"/>
              </w:numPr>
              <w:pBdr>
                <w:top w:val="nil"/>
                <w:left w:val="nil"/>
                <w:bottom w:val="nil"/>
                <w:right w:val="nil"/>
                <w:between w:val="nil"/>
              </w:pBdr>
              <w:spacing w:before="120"/>
              <w:jc w:val="left"/>
              <w:rPr>
                <w:rFonts w:ascii="Arial" w:eastAsia="Arial" w:hAnsi="Arial" w:cs="Arial"/>
                <w:color w:val="000000"/>
                <w:sz w:val="22"/>
                <w:szCs w:val="22"/>
              </w:rPr>
            </w:pPr>
            <w:r>
              <w:rPr>
                <w:rFonts w:ascii="Arial" w:eastAsia="Arial" w:hAnsi="Arial" w:cs="Arial"/>
                <w:color w:val="000000"/>
                <w:sz w:val="22"/>
                <w:szCs w:val="22"/>
              </w:rPr>
              <w:t xml:space="preserve">provides the Goods and/or Services (or any part of them); </w:t>
            </w:r>
          </w:p>
          <w:p w:rsidR="00E027CC" w:rsidRDefault="00346DA8" w:rsidP="00FB781C">
            <w:pPr>
              <w:numPr>
                <w:ilvl w:val="0"/>
                <w:numId w:val="4"/>
              </w:numPr>
              <w:pBdr>
                <w:top w:val="nil"/>
                <w:left w:val="nil"/>
                <w:bottom w:val="nil"/>
                <w:right w:val="nil"/>
                <w:between w:val="nil"/>
              </w:pBdr>
              <w:spacing w:before="120"/>
              <w:jc w:val="left"/>
              <w:rPr>
                <w:rFonts w:ascii="Arial" w:eastAsia="Arial" w:hAnsi="Arial" w:cs="Arial"/>
                <w:color w:val="000000"/>
                <w:sz w:val="22"/>
                <w:szCs w:val="22"/>
              </w:rPr>
            </w:pPr>
            <w:r>
              <w:rPr>
                <w:rFonts w:ascii="Arial" w:eastAsia="Arial" w:hAnsi="Arial" w:cs="Arial"/>
                <w:color w:val="000000"/>
                <w:sz w:val="22"/>
                <w:szCs w:val="22"/>
              </w:rPr>
              <w:t>provides facilities or services necessary for the provision of the Goods and/or Services (or any part of them); and/or</w:t>
            </w:r>
          </w:p>
          <w:p w:rsidR="00E027CC" w:rsidRDefault="00346DA8" w:rsidP="00FB781C">
            <w:pPr>
              <w:numPr>
                <w:ilvl w:val="0"/>
                <w:numId w:val="4"/>
              </w:numPr>
              <w:pBdr>
                <w:top w:val="nil"/>
                <w:left w:val="nil"/>
                <w:bottom w:val="nil"/>
                <w:right w:val="nil"/>
                <w:between w:val="nil"/>
              </w:pBdr>
              <w:spacing w:before="120"/>
              <w:jc w:val="left"/>
              <w:rPr>
                <w:rFonts w:ascii="Arial" w:eastAsia="Arial" w:hAnsi="Arial" w:cs="Arial"/>
                <w:color w:val="000000"/>
                <w:sz w:val="22"/>
                <w:szCs w:val="22"/>
              </w:rPr>
            </w:pPr>
            <w:r>
              <w:rPr>
                <w:rFonts w:ascii="Arial" w:eastAsia="Arial" w:hAnsi="Arial" w:cs="Arial"/>
                <w:color w:val="000000"/>
                <w:sz w:val="22"/>
                <w:szCs w:val="22"/>
              </w:rPr>
              <w:t>is responsible for the management, direction or control of the Goods and/or Services (or any part of them);</w:t>
            </w:r>
          </w:p>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pursuant to any contract or agreement (or proposed contract or agreement), other than the Framework Agreement or a Call Off Contract;</w:t>
            </w:r>
          </w:p>
        </w:tc>
      </w:tr>
      <w:tr w:rsidR="00E027CC" w:rsidTr="00FB781C">
        <w:tc>
          <w:tcPr>
            <w:tcW w:w="2552" w:type="dxa"/>
            <w:vAlign w:val="center"/>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Supplier</w:t>
            </w:r>
          </w:p>
        </w:tc>
        <w:tc>
          <w:tcPr>
            <w:tcW w:w="6015" w:type="dxa"/>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means a Potential Provider with whom the Authority has concluded a Framework Agreement;</w:t>
            </w:r>
          </w:p>
        </w:tc>
      </w:tr>
      <w:tr w:rsidR="00E027CC" w:rsidTr="00FB781C">
        <w:tc>
          <w:tcPr>
            <w:tcW w:w="2552" w:type="dxa"/>
            <w:vAlign w:val="center"/>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Tender</w:t>
            </w:r>
          </w:p>
        </w:tc>
        <w:tc>
          <w:tcPr>
            <w:tcW w:w="6015" w:type="dxa"/>
          </w:tcPr>
          <w:p w:rsidR="00E027CC" w:rsidRDefault="00346DA8">
            <w:pPr>
              <w:pBdr>
                <w:top w:val="nil"/>
                <w:left w:val="nil"/>
                <w:bottom w:val="nil"/>
                <w:right w:val="nil"/>
                <w:between w:val="nil"/>
              </w:pBdr>
              <w:spacing w:before="60" w:after="60"/>
              <w:jc w:val="left"/>
              <w:rPr>
                <w:rFonts w:ascii="Arial" w:eastAsia="Arial" w:hAnsi="Arial" w:cs="Arial"/>
                <w:b/>
                <w:color w:val="000000"/>
                <w:sz w:val="22"/>
                <w:szCs w:val="22"/>
              </w:rPr>
            </w:pPr>
            <w:r>
              <w:rPr>
                <w:rFonts w:ascii="Arial" w:eastAsia="Arial" w:hAnsi="Arial" w:cs="Arial"/>
                <w:color w:val="000000"/>
                <w:sz w:val="22"/>
                <w:szCs w:val="22"/>
              </w:rPr>
              <w:t>means the Potential Provider’s formal offer in response to the Invitation to Tender;</w:t>
            </w:r>
          </w:p>
        </w:tc>
      </w:tr>
      <w:tr w:rsidR="00E027CC" w:rsidTr="00FB781C">
        <w:tc>
          <w:tcPr>
            <w:tcW w:w="2552" w:type="dxa"/>
            <w:vAlign w:val="center"/>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Tender Clarifications Deadline</w:t>
            </w:r>
          </w:p>
        </w:tc>
        <w:tc>
          <w:tcPr>
            <w:tcW w:w="6015" w:type="dxa"/>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means the time and date set out in paragraph 4.2 for the latest submission of clarification questions;</w:t>
            </w:r>
          </w:p>
        </w:tc>
      </w:tr>
      <w:tr w:rsidR="00E027CC" w:rsidTr="00FB781C">
        <w:tc>
          <w:tcPr>
            <w:tcW w:w="2552" w:type="dxa"/>
            <w:vAlign w:val="center"/>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Tender Submission Deadline</w:t>
            </w:r>
          </w:p>
        </w:tc>
        <w:tc>
          <w:tcPr>
            <w:tcW w:w="6015" w:type="dxa"/>
          </w:tcPr>
          <w:p w:rsidR="00E027CC" w:rsidRDefault="00346DA8">
            <w:pPr>
              <w:pBdr>
                <w:top w:val="nil"/>
                <w:left w:val="nil"/>
                <w:bottom w:val="nil"/>
                <w:right w:val="nil"/>
                <w:between w:val="nil"/>
              </w:pBdr>
              <w:spacing w:before="60" w:after="60"/>
              <w:jc w:val="left"/>
              <w:rPr>
                <w:rFonts w:ascii="Arial" w:eastAsia="Arial" w:hAnsi="Arial" w:cs="Arial"/>
                <w:b/>
                <w:color w:val="000000"/>
                <w:sz w:val="22"/>
                <w:szCs w:val="22"/>
              </w:rPr>
            </w:pPr>
            <w:r>
              <w:rPr>
                <w:rFonts w:ascii="Arial" w:eastAsia="Arial" w:hAnsi="Arial" w:cs="Arial"/>
                <w:color w:val="000000"/>
                <w:sz w:val="22"/>
                <w:szCs w:val="22"/>
              </w:rPr>
              <w:t>means the time and date set out in paragraph 4.2 for the latest uploading of Tenders; and</w:t>
            </w:r>
          </w:p>
        </w:tc>
      </w:tr>
      <w:tr w:rsidR="00E027CC" w:rsidTr="00FB781C">
        <w:tc>
          <w:tcPr>
            <w:tcW w:w="2552" w:type="dxa"/>
            <w:vAlign w:val="center"/>
          </w:tcPr>
          <w:p w:rsidR="00E027CC" w:rsidRDefault="00346DA8">
            <w:pPr>
              <w:pBdr>
                <w:top w:val="nil"/>
                <w:left w:val="nil"/>
                <w:bottom w:val="nil"/>
                <w:right w:val="nil"/>
                <w:between w:val="nil"/>
              </w:pBdr>
              <w:spacing w:before="60" w:after="60"/>
              <w:jc w:val="left"/>
              <w:rPr>
                <w:rFonts w:ascii="Arial" w:eastAsia="Arial" w:hAnsi="Arial" w:cs="Arial"/>
                <w:color w:val="000000"/>
                <w:sz w:val="22"/>
                <w:szCs w:val="22"/>
              </w:rPr>
            </w:pPr>
            <w:r>
              <w:rPr>
                <w:rFonts w:ascii="Arial" w:eastAsia="Arial" w:hAnsi="Arial" w:cs="Arial"/>
                <w:color w:val="000000"/>
                <w:sz w:val="22"/>
                <w:szCs w:val="22"/>
              </w:rPr>
              <w:t>Voluntary Community Social Enterprise or VCSE</w:t>
            </w:r>
          </w:p>
        </w:tc>
        <w:tc>
          <w:tcPr>
            <w:tcW w:w="6015" w:type="dxa"/>
          </w:tcPr>
          <w:p w:rsidR="00E027CC" w:rsidRDefault="00346DA8">
            <w:pPr>
              <w:pBdr>
                <w:top w:val="nil"/>
                <w:left w:val="nil"/>
                <w:bottom w:val="nil"/>
                <w:right w:val="nil"/>
                <w:between w:val="nil"/>
              </w:pBdr>
              <w:spacing w:before="60" w:after="60"/>
              <w:rPr>
                <w:rFonts w:ascii="Arial" w:eastAsia="Arial" w:hAnsi="Arial" w:cs="Arial"/>
                <w:color w:val="000000"/>
                <w:sz w:val="22"/>
                <w:szCs w:val="22"/>
              </w:rPr>
            </w:pPr>
            <w:proofErr w:type="gramStart"/>
            <w:r>
              <w:rPr>
                <w:rFonts w:ascii="Arial" w:eastAsia="Arial" w:hAnsi="Arial" w:cs="Arial"/>
                <w:color w:val="000000"/>
                <w:sz w:val="22"/>
                <w:szCs w:val="22"/>
              </w:rPr>
              <w:t>means</w:t>
            </w:r>
            <w:proofErr w:type="gramEnd"/>
            <w:r>
              <w:rPr>
                <w:rFonts w:ascii="Arial" w:eastAsia="Arial" w:hAnsi="Arial" w:cs="Arial"/>
                <w:color w:val="000000"/>
                <w:sz w:val="22"/>
                <w:szCs w:val="22"/>
              </w:rPr>
              <w:t xml:space="preserve"> a non-governmental organisation that is value-driven and which principally reinvests its surpluses to further social, environmental or cultural objectives.</w:t>
            </w:r>
          </w:p>
        </w:tc>
      </w:tr>
    </w:tbl>
    <w:p w:rsidR="00E027CC" w:rsidRDefault="00346DA8">
      <w:pPr>
        <w:pBdr>
          <w:top w:val="nil"/>
          <w:left w:val="nil"/>
          <w:bottom w:val="nil"/>
          <w:right w:val="nil"/>
          <w:between w:val="nil"/>
        </w:pBdr>
        <w:spacing w:before="60" w:after="60" w:line="240" w:lineRule="auto"/>
        <w:jc w:val="both"/>
        <w:rPr>
          <w:rFonts w:ascii="Arial" w:eastAsia="Arial" w:hAnsi="Arial" w:cs="Arial"/>
          <w:color w:val="000000"/>
        </w:rPr>
      </w:pPr>
      <w:r>
        <w:rPr>
          <w:rFonts w:ascii="Arial" w:eastAsia="Arial" w:hAnsi="Arial" w:cs="Arial"/>
          <w:color w:val="000000"/>
        </w:rPr>
        <w:t xml:space="preserve"> </w:t>
      </w:r>
    </w:p>
    <w:p w:rsidR="00E027CC" w:rsidRDefault="00E027CC">
      <w:pPr>
        <w:pStyle w:val="Heading1"/>
        <w:rPr>
          <w:sz w:val="22"/>
          <w:szCs w:val="22"/>
        </w:rPr>
      </w:pPr>
    </w:p>
    <w:p w:rsidR="00E027CC" w:rsidRDefault="00E027CC">
      <w:pPr>
        <w:pStyle w:val="Heading1"/>
        <w:rPr>
          <w:sz w:val="22"/>
          <w:szCs w:val="22"/>
        </w:rPr>
      </w:pPr>
    </w:p>
    <w:p w:rsidR="00E027CC" w:rsidRDefault="00346DA8">
      <w:pPr>
        <w:pStyle w:val="Heading1"/>
        <w:rPr>
          <w:sz w:val="22"/>
          <w:szCs w:val="22"/>
        </w:rPr>
      </w:pPr>
      <w:r>
        <w:br w:type="page"/>
      </w:r>
    </w:p>
    <w:p w:rsidR="00E027CC" w:rsidRDefault="00346DA8" w:rsidP="00FB781C">
      <w:pPr>
        <w:pStyle w:val="Heading1"/>
        <w:ind w:left="0"/>
        <w:rPr>
          <w:sz w:val="22"/>
          <w:szCs w:val="22"/>
        </w:rPr>
      </w:pPr>
      <w:r>
        <w:rPr>
          <w:sz w:val="22"/>
          <w:szCs w:val="22"/>
        </w:rPr>
        <w:lastRenderedPageBreak/>
        <w:t xml:space="preserve">ANNEX </w:t>
      </w:r>
      <w:proofErr w:type="gramStart"/>
      <w:r>
        <w:rPr>
          <w:sz w:val="22"/>
          <w:szCs w:val="22"/>
        </w:rPr>
        <w:t>1  -</w:t>
      </w:r>
      <w:proofErr w:type="gramEnd"/>
      <w:r>
        <w:rPr>
          <w:sz w:val="22"/>
          <w:szCs w:val="22"/>
        </w:rPr>
        <w:t xml:space="preserve"> PRICING EVALUATION WORKED EXAMPLES </w:t>
      </w:r>
    </w:p>
    <w:p w:rsidR="00E027CC" w:rsidRDefault="00E027CC">
      <w:pPr>
        <w:pStyle w:val="Heading1"/>
        <w:ind w:left="0"/>
      </w:pPr>
    </w:p>
    <w:tbl>
      <w:tblPr>
        <w:tblStyle w:val="a6"/>
        <w:tblW w:w="90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E027CC" w:rsidTr="00FB781C">
        <w:tc>
          <w:tcPr>
            <w:tcW w:w="9016" w:type="dxa"/>
            <w:gridSpan w:val="2"/>
            <w:shd w:val="clear" w:color="auto" w:fill="C6D9F1"/>
          </w:tcPr>
          <w:p w:rsidR="00E027CC" w:rsidRDefault="00346DA8">
            <w:pPr>
              <w:spacing w:after="200" w:line="276" w:lineRule="auto"/>
              <w:jc w:val="left"/>
              <w:rPr>
                <w:rFonts w:ascii="Arial" w:eastAsia="Arial" w:hAnsi="Arial" w:cs="Arial"/>
                <w:b/>
              </w:rPr>
            </w:pPr>
            <w:r>
              <w:rPr>
                <w:rFonts w:ascii="Arial" w:eastAsia="Arial" w:hAnsi="Arial" w:cs="Arial"/>
                <w:b/>
              </w:rPr>
              <w:t xml:space="preserve">Price Weighting is 10% </w:t>
            </w:r>
          </w:p>
        </w:tc>
      </w:tr>
      <w:tr w:rsidR="00E027CC" w:rsidTr="00FB781C">
        <w:trPr>
          <w:trHeight w:val="180"/>
        </w:trPr>
        <w:tc>
          <w:tcPr>
            <w:tcW w:w="9016" w:type="dxa"/>
            <w:gridSpan w:val="2"/>
            <w:shd w:val="clear" w:color="auto" w:fill="DBE5F1"/>
          </w:tcPr>
          <w:p w:rsidR="00E027CC" w:rsidRDefault="00346DA8">
            <w:pPr>
              <w:spacing w:after="200" w:line="276" w:lineRule="auto"/>
              <w:jc w:val="left"/>
              <w:rPr>
                <w:rFonts w:ascii="Arial" w:eastAsia="Arial" w:hAnsi="Arial" w:cs="Arial"/>
                <w:b/>
              </w:rPr>
            </w:pPr>
            <w:r>
              <w:rPr>
                <w:rFonts w:ascii="Arial" w:eastAsia="Arial" w:hAnsi="Arial" w:cs="Arial"/>
                <w:b/>
              </w:rPr>
              <w:t>Maximum Price Score available is 10.</w:t>
            </w:r>
          </w:p>
        </w:tc>
      </w:tr>
      <w:tr w:rsidR="00E027CC" w:rsidTr="00FB781C">
        <w:trPr>
          <w:trHeight w:val="260"/>
        </w:trPr>
        <w:tc>
          <w:tcPr>
            <w:tcW w:w="4508" w:type="dxa"/>
            <w:shd w:val="clear" w:color="auto" w:fill="D9D9D9"/>
          </w:tcPr>
          <w:p w:rsidR="00E027CC" w:rsidRDefault="00346DA8">
            <w:pPr>
              <w:spacing w:after="200" w:line="276" w:lineRule="auto"/>
              <w:jc w:val="center"/>
              <w:rPr>
                <w:rFonts w:ascii="Arial" w:eastAsia="Arial" w:hAnsi="Arial" w:cs="Arial"/>
                <w:b/>
              </w:rPr>
            </w:pPr>
            <w:r>
              <w:rPr>
                <w:rFonts w:ascii="Arial" w:eastAsia="Arial" w:hAnsi="Arial" w:cs="Arial"/>
                <w:b/>
              </w:rPr>
              <w:t>Potential Provider</w:t>
            </w:r>
          </w:p>
        </w:tc>
        <w:tc>
          <w:tcPr>
            <w:tcW w:w="4508" w:type="dxa"/>
            <w:shd w:val="clear" w:color="auto" w:fill="D9D9D9"/>
          </w:tcPr>
          <w:p w:rsidR="00E027CC" w:rsidRDefault="00346DA8">
            <w:pPr>
              <w:spacing w:after="200" w:line="276" w:lineRule="auto"/>
              <w:jc w:val="center"/>
              <w:rPr>
                <w:rFonts w:ascii="Arial" w:eastAsia="Arial" w:hAnsi="Arial" w:cs="Arial"/>
                <w:b/>
              </w:rPr>
            </w:pPr>
            <w:r>
              <w:rPr>
                <w:rFonts w:ascii="Arial" w:eastAsia="Arial" w:hAnsi="Arial" w:cs="Arial"/>
                <w:b/>
              </w:rPr>
              <w:t>Total Bid Discount (%)</w:t>
            </w:r>
          </w:p>
        </w:tc>
      </w:tr>
      <w:tr w:rsidR="00E027CC" w:rsidTr="00FB781C">
        <w:tc>
          <w:tcPr>
            <w:tcW w:w="4508" w:type="dxa"/>
          </w:tcPr>
          <w:p w:rsidR="00E027CC" w:rsidRDefault="00346DA8">
            <w:pPr>
              <w:spacing w:after="200" w:line="276" w:lineRule="auto"/>
              <w:jc w:val="center"/>
              <w:rPr>
                <w:rFonts w:ascii="Arial" w:eastAsia="Arial" w:hAnsi="Arial" w:cs="Arial"/>
              </w:rPr>
            </w:pPr>
            <w:r>
              <w:rPr>
                <w:rFonts w:ascii="Arial" w:eastAsia="Arial" w:hAnsi="Arial" w:cs="Arial"/>
                <w:color w:val="FF0000"/>
              </w:rPr>
              <w:t>A</w:t>
            </w:r>
          </w:p>
        </w:tc>
        <w:tc>
          <w:tcPr>
            <w:tcW w:w="4508" w:type="dxa"/>
          </w:tcPr>
          <w:p w:rsidR="00E027CC" w:rsidRDefault="00346DA8">
            <w:pPr>
              <w:spacing w:after="200" w:line="276" w:lineRule="auto"/>
              <w:jc w:val="center"/>
              <w:rPr>
                <w:rFonts w:ascii="Arial" w:eastAsia="Arial" w:hAnsi="Arial" w:cs="Arial"/>
              </w:rPr>
            </w:pPr>
            <w:r>
              <w:rPr>
                <w:rFonts w:ascii="Arial" w:eastAsia="Arial" w:hAnsi="Arial" w:cs="Arial"/>
                <w:color w:val="FF0000"/>
              </w:rPr>
              <w:t>50%</w:t>
            </w:r>
          </w:p>
        </w:tc>
      </w:tr>
      <w:tr w:rsidR="00E027CC" w:rsidTr="00FB781C">
        <w:tc>
          <w:tcPr>
            <w:tcW w:w="4508" w:type="dxa"/>
          </w:tcPr>
          <w:p w:rsidR="00E027CC" w:rsidRDefault="00346DA8">
            <w:pPr>
              <w:spacing w:after="200" w:line="276" w:lineRule="auto"/>
              <w:jc w:val="center"/>
              <w:rPr>
                <w:rFonts w:ascii="Arial" w:eastAsia="Arial" w:hAnsi="Arial" w:cs="Arial"/>
              </w:rPr>
            </w:pPr>
            <w:r>
              <w:rPr>
                <w:rFonts w:ascii="Arial" w:eastAsia="Arial" w:hAnsi="Arial" w:cs="Arial"/>
              </w:rPr>
              <w:t>B</w:t>
            </w:r>
          </w:p>
        </w:tc>
        <w:tc>
          <w:tcPr>
            <w:tcW w:w="4508" w:type="dxa"/>
          </w:tcPr>
          <w:p w:rsidR="00E027CC" w:rsidRDefault="00346DA8">
            <w:pPr>
              <w:spacing w:after="200" w:line="276" w:lineRule="auto"/>
              <w:jc w:val="center"/>
              <w:rPr>
                <w:rFonts w:ascii="Arial" w:eastAsia="Arial" w:hAnsi="Arial" w:cs="Arial"/>
              </w:rPr>
            </w:pPr>
            <w:r>
              <w:rPr>
                <w:rFonts w:ascii="Arial" w:eastAsia="Arial" w:hAnsi="Arial" w:cs="Arial"/>
              </w:rPr>
              <w:t>30%</w:t>
            </w:r>
          </w:p>
        </w:tc>
      </w:tr>
      <w:tr w:rsidR="00E027CC" w:rsidTr="00FB781C">
        <w:tc>
          <w:tcPr>
            <w:tcW w:w="4508" w:type="dxa"/>
          </w:tcPr>
          <w:p w:rsidR="00E027CC" w:rsidRDefault="00346DA8">
            <w:pPr>
              <w:spacing w:after="200" w:line="276" w:lineRule="auto"/>
              <w:jc w:val="center"/>
              <w:rPr>
                <w:rFonts w:ascii="Arial" w:eastAsia="Arial" w:hAnsi="Arial" w:cs="Arial"/>
              </w:rPr>
            </w:pPr>
            <w:r>
              <w:rPr>
                <w:rFonts w:ascii="Arial" w:eastAsia="Arial" w:hAnsi="Arial" w:cs="Arial"/>
              </w:rPr>
              <w:t>C</w:t>
            </w:r>
          </w:p>
        </w:tc>
        <w:tc>
          <w:tcPr>
            <w:tcW w:w="4508" w:type="dxa"/>
          </w:tcPr>
          <w:p w:rsidR="00E027CC" w:rsidRDefault="00346DA8">
            <w:pPr>
              <w:spacing w:after="200" w:line="276" w:lineRule="auto"/>
              <w:jc w:val="center"/>
              <w:rPr>
                <w:rFonts w:ascii="Arial" w:eastAsia="Arial" w:hAnsi="Arial" w:cs="Arial"/>
              </w:rPr>
            </w:pPr>
            <w:r>
              <w:rPr>
                <w:rFonts w:ascii="Arial" w:eastAsia="Arial" w:hAnsi="Arial" w:cs="Arial"/>
              </w:rPr>
              <w:t>10%</w:t>
            </w:r>
          </w:p>
        </w:tc>
      </w:tr>
      <w:tr w:rsidR="00E027CC" w:rsidTr="00FB781C">
        <w:tc>
          <w:tcPr>
            <w:tcW w:w="4508" w:type="dxa"/>
            <w:shd w:val="clear" w:color="auto" w:fill="D9D9D9"/>
          </w:tcPr>
          <w:p w:rsidR="00E027CC" w:rsidRDefault="00346DA8">
            <w:pPr>
              <w:spacing w:after="200" w:line="276" w:lineRule="auto"/>
              <w:jc w:val="center"/>
              <w:rPr>
                <w:rFonts w:ascii="Arial" w:eastAsia="Arial" w:hAnsi="Arial" w:cs="Arial"/>
                <w:b/>
              </w:rPr>
            </w:pPr>
            <w:r>
              <w:rPr>
                <w:rFonts w:ascii="Arial" w:eastAsia="Arial" w:hAnsi="Arial" w:cs="Arial"/>
                <w:b/>
              </w:rPr>
              <w:t>Potential Provider</w:t>
            </w:r>
          </w:p>
        </w:tc>
        <w:tc>
          <w:tcPr>
            <w:tcW w:w="4508" w:type="dxa"/>
            <w:shd w:val="clear" w:color="auto" w:fill="D9D9D9"/>
          </w:tcPr>
          <w:p w:rsidR="00E027CC" w:rsidRDefault="00346DA8">
            <w:pPr>
              <w:spacing w:after="200" w:line="276" w:lineRule="auto"/>
              <w:jc w:val="center"/>
              <w:rPr>
                <w:rFonts w:ascii="Arial" w:eastAsia="Arial" w:hAnsi="Arial" w:cs="Arial"/>
                <w:b/>
              </w:rPr>
            </w:pPr>
            <w:r>
              <w:rPr>
                <w:rFonts w:ascii="Arial" w:eastAsia="Arial" w:hAnsi="Arial" w:cs="Arial"/>
                <w:b/>
              </w:rPr>
              <w:t>Price Score</w:t>
            </w:r>
          </w:p>
        </w:tc>
      </w:tr>
      <w:tr w:rsidR="00E027CC" w:rsidTr="00FB781C">
        <w:tc>
          <w:tcPr>
            <w:tcW w:w="4508" w:type="dxa"/>
          </w:tcPr>
          <w:p w:rsidR="00E027CC" w:rsidRDefault="00346DA8">
            <w:pPr>
              <w:spacing w:after="200" w:line="276" w:lineRule="auto"/>
              <w:jc w:val="center"/>
              <w:rPr>
                <w:rFonts w:ascii="Arial" w:eastAsia="Arial" w:hAnsi="Arial" w:cs="Arial"/>
              </w:rPr>
            </w:pPr>
            <w:r>
              <w:rPr>
                <w:rFonts w:ascii="Arial" w:eastAsia="Arial" w:hAnsi="Arial" w:cs="Arial"/>
              </w:rPr>
              <w:t>A</w:t>
            </w:r>
          </w:p>
        </w:tc>
        <w:tc>
          <w:tcPr>
            <w:tcW w:w="4508" w:type="dxa"/>
          </w:tcPr>
          <w:p w:rsidR="00E027CC" w:rsidRDefault="00346DA8">
            <w:pPr>
              <w:spacing w:after="200" w:line="276" w:lineRule="auto"/>
              <w:jc w:val="center"/>
              <w:rPr>
                <w:rFonts w:ascii="Arial" w:eastAsia="Arial" w:hAnsi="Arial" w:cs="Arial"/>
              </w:rPr>
            </w:pPr>
            <w:r>
              <w:rPr>
                <w:rFonts w:ascii="Arial" w:eastAsia="Arial" w:hAnsi="Arial" w:cs="Arial"/>
              </w:rPr>
              <w:t>10.00</w:t>
            </w:r>
          </w:p>
        </w:tc>
      </w:tr>
      <w:tr w:rsidR="00E027CC" w:rsidTr="00FB781C">
        <w:tc>
          <w:tcPr>
            <w:tcW w:w="4508" w:type="dxa"/>
          </w:tcPr>
          <w:p w:rsidR="00E027CC" w:rsidRDefault="00346DA8">
            <w:pPr>
              <w:spacing w:after="200" w:line="276" w:lineRule="auto"/>
              <w:jc w:val="center"/>
              <w:rPr>
                <w:rFonts w:ascii="Arial" w:eastAsia="Arial" w:hAnsi="Arial" w:cs="Arial"/>
              </w:rPr>
            </w:pPr>
            <w:r>
              <w:rPr>
                <w:rFonts w:ascii="Arial" w:eastAsia="Arial" w:hAnsi="Arial" w:cs="Arial"/>
              </w:rPr>
              <w:t>B</w:t>
            </w:r>
          </w:p>
        </w:tc>
        <w:tc>
          <w:tcPr>
            <w:tcW w:w="4508" w:type="dxa"/>
          </w:tcPr>
          <w:p w:rsidR="00E027CC" w:rsidRDefault="00346DA8">
            <w:pPr>
              <w:spacing w:after="200" w:line="276" w:lineRule="auto"/>
              <w:jc w:val="center"/>
              <w:rPr>
                <w:rFonts w:ascii="Arial" w:eastAsia="Arial" w:hAnsi="Arial" w:cs="Arial"/>
              </w:rPr>
            </w:pPr>
            <w:r>
              <w:rPr>
                <w:rFonts w:ascii="Arial" w:eastAsia="Arial" w:hAnsi="Arial" w:cs="Arial"/>
              </w:rPr>
              <w:t>6.00</w:t>
            </w:r>
          </w:p>
        </w:tc>
      </w:tr>
      <w:tr w:rsidR="00E027CC" w:rsidTr="00FB781C">
        <w:tc>
          <w:tcPr>
            <w:tcW w:w="4508" w:type="dxa"/>
          </w:tcPr>
          <w:p w:rsidR="00E027CC" w:rsidRDefault="00346DA8">
            <w:pPr>
              <w:spacing w:after="200" w:line="276" w:lineRule="auto"/>
              <w:jc w:val="center"/>
              <w:rPr>
                <w:rFonts w:ascii="Arial" w:eastAsia="Arial" w:hAnsi="Arial" w:cs="Arial"/>
              </w:rPr>
            </w:pPr>
            <w:r>
              <w:rPr>
                <w:rFonts w:ascii="Arial" w:eastAsia="Arial" w:hAnsi="Arial" w:cs="Arial"/>
              </w:rPr>
              <w:t>C</w:t>
            </w:r>
          </w:p>
        </w:tc>
        <w:tc>
          <w:tcPr>
            <w:tcW w:w="4508" w:type="dxa"/>
          </w:tcPr>
          <w:p w:rsidR="00E027CC" w:rsidRDefault="00346DA8">
            <w:pPr>
              <w:spacing w:after="200" w:line="276" w:lineRule="auto"/>
              <w:jc w:val="center"/>
              <w:rPr>
                <w:rFonts w:ascii="Arial" w:eastAsia="Arial" w:hAnsi="Arial" w:cs="Arial"/>
              </w:rPr>
            </w:pPr>
            <w:r>
              <w:rPr>
                <w:rFonts w:ascii="Arial" w:eastAsia="Arial" w:hAnsi="Arial" w:cs="Arial"/>
              </w:rPr>
              <w:t>2.00</w:t>
            </w:r>
          </w:p>
        </w:tc>
      </w:tr>
    </w:tbl>
    <w:p w:rsidR="00E027CC" w:rsidRDefault="00346DA8" w:rsidP="00FB781C">
      <w:pPr>
        <w:pStyle w:val="Heading2"/>
        <w:ind w:left="720" w:firstLine="0"/>
      </w:pPr>
      <w:r>
        <w:rPr>
          <w:sz w:val="22"/>
          <w:szCs w:val="22"/>
        </w:rPr>
        <w:t xml:space="preserve">The illustrative example provided at paragraph </w:t>
      </w:r>
      <w:r w:rsidRPr="00FB781C">
        <w:rPr>
          <w:sz w:val="22"/>
        </w:rPr>
        <w:t>16.1</w:t>
      </w:r>
      <w:r>
        <w:rPr>
          <w:sz w:val="22"/>
          <w:szCs w:val="22"/>
        </w:rPr>
        <w:t xml:space="preserve"> above shows three fictitious Potential Providers.</w:t>
      </w:r>
    </w:p>
    <w:p w:rsidR="00E027CC" w:rsidRPr="00FB781C" w:rsidRDefault="00346DA8" w:rsidP="00FB781C">
      <w:pPr>
        <w:pStyle w:val="Heading2"/>
        <w:pBdr>
          <w:top w:val="nil"/>
          <w:left w:val="nil"/>
          <w:bottom w:val="nil"/>
          <w:right w:val="nil"/>
          <w:between w:val="nil"/>
        </w:pBdr>
        <w:ind w:left="720" w:firstLine="0"/>
        <w:rPr>
          <w:sz w:val="22"/>
        </w:rPr>
      </w:pPr>
      <w:r>
        <w:rPr>
          <w:sz w:val="22"/>
          <w:szCs w:val="22"/>
        </w:rPr>
        <w:t xml:space="preserve">The Potential Provider who submits the highest Total Bid Discount in each Lot will be awarded 100% of the Maximum Score Available (the highest Total Bid Discount is in </w:t>
      </w:r>
      <w:r>
        <w:rPr>
          <w:color w:val="FF0000"/>
          <w:sz w:val="22"/>
          <w:szCs w:val="22"/>
        </w:rPr>
        <w:t xml:space="preserve">red </w:t>
      </w:r>
      <w:r>
        <w:rPr>
          <w:sz w:val="22"/>
          <w:szCs w:val="22"/>
        </w:rPr>
        <w:t xml:space="preserve">text in the table above). </w:t>
      </w:r>
    </w:p>
    <w:p w:rsidR="00E027CC" w:rsidRPr="00FB781C" w:rsidRDefault="00346DA8" w:rsidP="00FB781C">
      <w:pPr>
        <w:pStyle w:val="Heading2"/>
        <w:pBdr>
          <w:top w:val="nil"/>
          <w:left w:val="nil"/>
          <w:bottom w:val="nil"/>
          <w:right w:val="nil"/>
          <w:between w:val="nil"/>
        </w:pBdr>
        <w:ind w:left="720" w:firstLine="0"/>
        <w:rPr>
          <w:sz w:val="22"/>
        </w:rPr>
      </w:pPr>
      <w:r>
        <w:rPr>
          <w:sz w:val="22"/>
          <w:szCs w:val="22"/>
        </w:rPr>
        <w:t>Where two or more Potential Providers submit an equal highest Total Bid Discount, then these Potential Providers will each be awarded 100% of the Maximum Score Available.</w:t>
      </w:r>
    </w:p>
    <w:p w:rsidR="00E027CC" w:rsidRPr="00FB781C" w:rsidRDefault="00346DA8" w:rsidP="00FB781C">
      <w:pPr>
        <w:pStyle w:val="Heading2"/>
        <w:pBdr>
          <w:top w:val="nil"/>
          <w:left w:val="nil"/>
          <w:bottom w:val="nil"/>
          <w:right w:val="nil"/>
          <w:between w:val="nil"/>
        </w:pBdr>
        <w:ind w:left="720" w:firstLine="0"/>
        <w:rPr>
          <w:sz w:val="22"/>
        </w:rPr>
      </w:pPr>
      <w:r>
        <w:rPr>
          <w:sz w:val="22"/>
          <w:szCs w:val="22"/>
        </w:rPr>
        <w:t xml:space="preserve">The remaining Potential Provider will be awarded a percentage of the Maximum Score Available equal to their Total Bid Discount, relative to the highest Total Bid Discount submitted. </w:t>
      </w:r>
    </w:p>
    <w:p w:rsidR="00E027CC" w:rsidRPr="00FB781C" w:rsidRDefault="00346DA8" w:rsidP="00FB781C">
      <w:pPr>
        <w:pStyle w:val="Heading2"/>
        <w:pBdr>
          <w:top w:val="nil"/>
          <w:left w:val="nil"/>
          <w:bottom w:val="nil"/>
          <w:right w:val="nil"/>
          <w:between w:val="nil"/>
        </w:pBdr>
        <w:ind w:left="720" w:firstLine="0"/>
        <w:rPr>
          <w:sz w:val="22"/>
        </w:rPr>
      </w:pPr>
      <w:r>
        <w:rPr>
          <w:sz w:val="22"/>
          <w:szCs w:val="22"/>
        </w:rPr>
        <w:t>For example – in the illustrative example provided above in the Table 1, Potential Provider A has submitted a “Total Bid Discount” of 50% which was the highest Total Bid Discount submitted, therefore Potential Provider A will be awarded 100% of the Maximum Score Available (i.e. 10).</w:t>
      </w:r>
    </w:p>
    <w:p w:rsidR="00E027CC" w:rsidRPr="00FB781C" w:rsidRDefault="00346DA8" w:rsidP="00FB781C">
      <w:pPr>
        <w:pStyle w:val="Heading2"/>
        <w:pBdr>
          <w:top w:val="nil"/>
          <w:left w:val="nil"/>
          <w:bottom w:val="nil"/>
          <w:right w:val="nil"/>
          <w:between w:val="nil"/>
        </w:pBdr>
        <w:ind w:left="720" w:firstLine="0"/>
        <w:rPr>
          <w:sz w:val="22"/>
        </w:rPr>
      </w:pPr>
      <w:r>
        <w:rPr>
          <w:sz w:val="22"/>
          <w:szCs w:val="22"/>
        </w:rPr>
        <w:t xml:space="preserve">The Authority will apply this calculation to Potential Providers B and C: </w:t>
      </w:r>
    </w:p>
    <w:tbl>
      <w:tblPr>
        <w:tblStyle w:val="a7"/>
        <w:tblW w:w="7293" w:type="dxa"/>
        <w:jc w:val="right"/>
        <w:tblLayout w:type="fixed"/>
        <w:tblLook w:val="0400" w:firstRow="0" w:lastRow="0" w:firstColumn="0" w:lastColumn="0" w:noHBand="0" w:noVBand="1"/>
      </w:tblPr>
      <w:tblGrid>
        <w:gridCol w:w="1394"/>
        <w:gridCol w:w="3601"/>
        <w:gridCol w:w="2298"/>
      </w:tblGrid>
      <w:tr w:rsidR="00E027CC" w:rsidTr="00FB781C">
        <w:trPr>
          <w:trHeight w:val="280"/>
          <w:jc w:val="right"/>
        </w:trPr>
        <w:tc>
          <w:tcPr>
            <w:tcW w:w="1394" w:type="dxa"/>
            <w:vMerge w:val="restart"/>
            <w:tcBorders>
              <w:top w:val="nil"/>
              <w:left w:val="nil"/>
              <w:bottom w:val="nil"/>
              <w:right w:val="nil"/>
            </w:tcBorders>
            <w:shd w:val="clear" w:color="auto" w:fill="auto"/>
            <w:vAlign w:val="center"/>
          </w:tcPr>
          <w:p w:rsidR="00E027CC" w:rsidRDefault="00346DA8">
            <w:pPr>
              <w:rPr>
                <w:rFonts w:ascii="Arial" w:eastAsia="Arial" w:hAnsi="Arial" w:cs="Arial"/>
                <w:color w:val="000000"/>
              </w:rPr>
            </w:pPr>
            <w:r>
              <w:rPr>
                <w:rFonts w:ascii="Arial" w:eastAsia="Arial" w:hAnsi="Arial" w:cs="Arial"/>
                <w:color w:val="000000"/>
              </w:rPr>
              <w:t>Score</w:t>
            </w:r>
            <w:r>
              <w:rPr>
                <w:rFonts w:ascii="Arial" w:eastAsia="Arial" w:hAnsi="Arial" w:cs="Arial"/>
                <w:color w:val="000000"/>
              </w:rPr>
              <w:tab/>
              <w:t xml:space="preserve"> =</w:t>
            </w:r>
          </w:p>
        </w:tc>
        <w:tc>
          <w:tcPr>
            <w:tcW w:w="3601" w:type="dxa"/>
            <w:tcBorders>
              <w:top w:val="nil"/>
              <w:left w:val="nil"/>
              <w:bottom w:val="nil"/>
              <w:right w:val="nil"/>
            </w:tcBorders>
            <w:shd w:val="clear" w:color="auto" w:fill="auto"/>
            <w:vAlign w:val="center"/>
          </w:tcPr>
          <w:p w:rsidR="00E027CC" w:rsidRDefault="00346DA8">
            <w:pPr>
              <w:ind w:left="-120"/>
              <w:jc w:val="center"/>
              <w:rPr>
                <w:rFonts w:ascii="Arial" w:eastAsia="Arial" w:hAnsi="Arial" w:cs="Arial"/>
                <w:color w:val="000000"/>
                <w:u w:val="single"/>
              </w:rPr>
            </w:pPr>
            <w:r>
              <w:rPr>
                <w:rFonts w:ascii="Arial" w:eastAsia="Arial" w:hAnsi="Arial" w:cs="Arial"/>
                <w:color w:val="000000"/>
                <w:u w:val="single"/>
              </w:rPr>
              <w:t>Potential Providers Total Bid Discount</w:t>
            </w:r>
          </w:p>
        </w:tc>
        <w:tc>
          <w:tcPr>
            <w:tcW w:w="2298" w:type="dxa"/>
            <w:vMerge w:val="restart"/>
            <w:tcBorders>
              <w:top w:val="nil"/>
              <w:left w:val="nil"/>
              <w:bottom w:val="nil"/>
              <w:right w:val="nil"/>
            </w:tcBorders>
            <w:shd w:val="clear" w:color="auto" w:fill="auto"/>
            <w:vAlign w:val="center"/>
          </w:tcPr>
          <w:p w:rsidR="00E027CC" w:rsidRDefault="00346DA8">
            <w:pPr>
              <w:jc w:val="center"/>
              <w:rPr>
                <w:rFonts w:ascii="Arial" w:eastAsia="Arial" w:hAnsi="Arial" w:cs="Arial"/>
                <w:color w:val="000000"/>
              </w:rPr>
            </w:pPr>
            <w:r>
              <w:rPr>
                <w:rFonts w:ascii="Arial" w:eastAsia="Arial" w:hAnsi="Arial" w:cs="Arial"/>
                <w:color w:val="000000"/>
              </w:rPr>
              <w:t xml:space="preserve">x </w:t>
            </w:r>
            <w:r>
              <w:rPr>
                <w:rFonts w:ascii="Arial" w:eastAsia="Arial" w:hAnsi="Arial" w:cs="Arial"/>
              </w:rPr>
              <w:t>1</w:t>
            </w:r>
            <w:r>
              <w:rPr>
                <w:rFonts w:ascii="Arial" w:eastAsia="Arial" w:hAnsi="Arial" w:cs="Arial"/>
                <w:color w:val="000000"/>
              </w:rPr>
              <w:t xml:space="preserve">0% </w:t>
            </w:r>
          </w:p>
          <w:p w:rsidR="00E027CC" w:rsidRDefault="00346DA8">
            <w:pPr>
              <w:jc w:val="center"/>
              <w:rPr>
                <w:rFonts w:ascii="Arial" w:eastAsia="Arial" w:hAnsi="Arial" w:cs="Arial"/>
                <w:color w:val="000000"/>
              </w:rPr>
            </w:pPr>
            <w:r>
              <w:rPr>
                <w:rFonts w:ascii="Arial" w:eastAsia="Arial" w:hAnsi="Arial" w:cs="Arial"/>
                <w:color w:val="000000"/>
              </w:rPr>
              <w:t xml:space="preserve">(Maximum Price </w:t>
            </w:r>
          </w:p>
          <w:p w:rsidR="00E027CC" w:rsidRDefault="00346DA8">
            <w:pPr>
              <w:jc w:val="center"/>
              <w:rPr>
                <w:rFonts w:ascii="Arial" w:eastAsia="Arial" w:hAnsi="Arial" w:cs="Arial"/>
                <w:color w:val="000000"/>
              </w:rPr>
            </w:pPr>
            <w:r>
              <w:rPr>
                <w:rFonts w:ascii="Arial" w:eastAsia="Arial" w:hAnsi="Arial" w:cs="Arial"/>
                <w:color w:val="000000"/>
              </w:rPr>
              <w:t>Score Available)</w:t>
            </w:r>
          </w:p>
        </w:tc>
      </w:tr>
      <w:tr w:rsidR="00E027CC" w:rsidTr="00FB781C">
        <w:trPr>
          <w:trHeight w:val="280"/>
          <w:jc w:val="right"/>
        </w:trPr>
        <w:tc>
          <w:tcPr>
            <w:tcW w:w="1394" w:type="dxa"/>
            <w:vMerge/>
            <w:tcBorders>
              <w:top w:val="nil"/>
              <w:left w:val="nil"/>
              <w:bottom w:val="nil"/>
              <w:right w:val="nil"/>
            </w:tcBorders>
            <w:shd w:val="clear" w:color="auto" w:fill="auto"/>
            <w:vAlign w:val="center"/>
          </w:tcPr>
          <w:p w:rsidR="00E027CC" w:rsidRDefault="00E027CC">
            <w:pPr>
              <w:widowControl w:val="0"/>
              <w:pBdr>
                <w:top w:val="nil"/>
                <w:left w:val="nil"/>
                <w:bottom w:val="nil"/>
                <w:right w:val="nil"/>
                <w:between w:val="nil"/>
              </w:pBdr>
              <w:spacing w:line="276" w:lineRule="auto"/>
              <w:jc w:val="left"/>
              <w:rPr>
                <w:rFonts w:ascii="Arial" w:eastAsia="Arial" w:hAnsi="Arial" w:cs="Arial"/>
                <w:color w:val="000000"/>
              </w:rPr>
            </w:pPr>
          </w:p>
        </w:tc>
        <w:tc>
          <w:tcPr>
            <w:tcW w:w="3601" w:type="dxa"/>
            <w:tcBorders>
              <w:top w:val="nil"/>
              <w:left w:val="nil"/>
              <w:bottom w:val="nil"/>
              <w:right w:val="nil"/>
            </w:tcBorders>
            <w:shd w:val="clear" w:color="auto" w:fill="auto"/>
            <w:vAlign w:val="center"/>
          </w:tcPr>
          <w:p w:rsidR="00E027CC" w:rsidRDefault="00346DA8">
            <w:pPr>
              <w:jc w:val="center"/>
              <w:rPr>
                <w:rFonts w:ascii="Arial" w:eastAsia="Arial" w:hAnsi="Arial" w:cs="Arial"/>
                <w:color w:val="000000"/>
              </w:rPr>
            </w:pPr>
            <w:r>
              <w:rPr>
                <w:rFonts w:ascii="Arial" w:eastAsia="Arial" w:hAnsi="Arial" w:cs="Arial"/>
                <w:color w:val="000000"/>
              </w:rPr>
              <w:t>Highest Total Bid Discount</w:t>
            </w:r>
          </w:p>
        </w:tc>
        <w:tc>
          <w:tcPr>
            <w:tcW w:w="2298" w:type="dxa"/>
            <w:vMerge/>
            <w:tcBorders>
              <w:top w:val="nil"/>
              <w:left w:val="nil"/>
              <w:bottom w:val="nil"/>
              <w:right w:val="nil"/>
            </w:tcBorders>
            <w:shd w:val="clear" w:color="auto" w:fill="auto"/>
            <w:vAlign w:val="center"/>
          </w:tcPr>
          <w:p w:rsidR="00E027CC" w:rsidRDefault="00E027CC">
            <w:pPr>
              <w:widowControl w:val="0"/>
              <w:pBdr>
                <w:top w:val="nil"/>
                <w:left w:val="nil"/>
                <w:bottom w:val="nil"/>
                <w:right w:val="nil"/>
                <w:between w:val="nil"/>
              </w:pBdr>
              <w:spacing w:line="276" w:lineRule="auto"/>
              <w:jc w:val="left"/>
              <w:rPr>
                <w:rFonts w:ascii="Arial" w:eastAsia="Arial" w:hAnsi="Arial" w:cs="Arial"/>
                <w:color w:val="000000"/>
              </w:rPr>
            </w:pPr>
          </w:p>
        </w:tc>
      </w:tr>
    </w:tbl>
    <w:p w:rsidR="00E027CC" w:rsidRDefault="00E027CC">
      <w:pPr>
        <w:pStyle w:val="Heading2"/>
        <w:rPr>
          <w:sz w:val="22"/>
          <w:szCs w:val="22"/>
        </w:rPr>
      </w:pPr>
    </w:p>
    <w:sectPr w:rsidR="00E027CC">
      <w:headerReference w:type="default" r:id="rId14"/>
      <w:footerReference w:type="default" r:id="rId15"/>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3314" w:rsidRDefault="004E3314">
      <w:pPr>
        <w:spacing w:after="0" w:line="240" w:lineRule="auto"/>
      </w:pPr>
      <w:r>
        <w:separator/>
      </w:r>
    </w:p>
  </w:endnote>
  <w:endnote w:type="continuationSeparator" w:id="0">
    <w:p w:rsidR="004E3314" w:rsidRDefault="004E3314">
      <w:pPr>
        <w:spacing w:after="0" w:line="240" w:lineRule="auto"/>
      </w:pPr>
      <w:r>
        <w:continuationSeparator/>
      </w:r>
    </w:p>
  </w:endnote>
  <w:endnote w:type="continuationNotice" w:id="1">
    <w:p w:rsidR="004E3314" w:rsidRDefault="004E331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20B5" w:rsidRDefault="007B20B5">
    <w:pPr>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sidR="00C62031">
      <w:rPr>
        <w:noProof/>
        <w:color w:val="000000"/>
      </w:rPr>
      <w:t>1</w:t>
    </w:r>
    <w:r>
      <w:rPr>
        <w:color w:val="000000"/>
      </w:rPr>
      <w:fldChar w:fldCharType="end"/>
    </w:r>
  </w:p>
  <w:p w:rsidR="007B20B5" w:rsidRDefault="007B20B5">
    <w:pPr>
      <w:pBdr>
        <w:top w:val="single" w:sz="6" w:space="1" w:color="000000"/>
        <w:left w:val="nil"/>
        <w:bottom w:val="nil"/>
        <w:right w:val="nil"/>
        <w:between w:val="nil"/>
      </w:pBdr>
      <w:tabs>
        <w:tab w:val="right" w:pos="8647"/>
      </w:tabs>
      <w:spacing w:after="0" w:line="240" w:lineRule="auto"/>
      <w:rPr>
        <w:rFonts w:ascii="Arial" w:eastAsia="Arial" w:hAnsi="Arial" w:cs="Arial"/>
        <w:color w:val="000000"/>
        <w:sz w:val="16"/>
        <w:szCs w:val="16"/>
      </w:rPr>
    </w:pPr>
    <w:r>
      <w:rPr>
        <w:rFonts w:ascii="Arial" w:eastAsia="Arial" w:hAnsi="Arial" w:cs="Arial"/>
        <w:color w:val="000000"/>
        <w:sz w:val="16"/>
        <w:szCs w:val="16"/>
      </w:rPr>
      <w:t>RM</w:t>
    </w:r>
    <w:r>
      <w:rPr>
        <w:rFonts w:ascii="Arial" w:eastAsia="Arial" w:hAnsi="Arial" w:cs="Arial"/>
        <w:sz w:val="16"/>
        <w:szCs w:val="16"/>
      </w:rPr>
      <w:t>6107</w:t>
    </w:r>
    <w:r>
      <w:rPr>
        <w:rFonts w:ascii="Arial" w:eastAsia="Arial" w:hAnsi="Arial" w:cs="Arial"/>
        <w:color w:val="000000"/>
        <w:sz w:val="16"/>
        <w:szCs w:val="16"/>
      </w:rPr>
      <w:t xml:space="preserve"> </w:t>
    </w:r>
    <w:r>
      <w:rPr>
        <w:rFonts w:ascii="Arial" w:eastAsia="Arial" w:hAnsi="Arial" w:cs="Arial"/>
        <w:sz w:val="16"/>
        <w:szCs w:val="16"/>
      </w:rPr>
      <w:t>Professional Economist Integrated Degree Apprenticeships</w:t>
    </w:r>
  </w:p>
  <w:p w:rsidR="007B20B5" w:rsidRDefault="007B20B5">
    <w:pPr>
      <w:pBdr>
        <w:top w:val="single" w:sz="6" w:space="1" w:color="000000"/>
        <w:left w:val="nil"/>
        <w:bottom w:val="nil"/>
        <w:right w:val="nil"/>
        <w:between w:val="nil"/>
      </w:pBdr>
      <w:tabs>
        <w:tab w:val="right" w:pos="8647"/>
      </w:tabs>
      <w:spacing w:after="0" w:line="240" w:lineRule="auto"/>
      <w:rPr>
        <w:rFonts w:ascii="Arial" w:eastAsia="Arial" w:hAnsi="Arial" w:cs="Arial"/>
        <w:color w:val="000000"/>
        <w:sz w:val="16"/>
        <w:szCs w:val="16"/>
      </w:rPr>
    </w:pPr>
    <w:r>
      <w:rPr>
        <w:rFonts w:ascii="Arial" w:eastAsia="Arial" w:hAnsi="Arial" w:cs="Arial"/>
        <w:color w:val="000000"/>
        <w:sz w:val="16"/>
        <w:szCs w:val="16"/>
      </w:rPr>
      <w:t>Attachment 1 – Invitation to Tender</w:t>
    </w:r>
  </w:p>
  <w:p w:rsidR="007B20B5" w:rsidRDefault="007B20B5">
    <w:pPr>
      <w:pBdr>
        <w:top w:val="single" w:sz="6" w:space="1" w:color="000000"/>
        <w:left w:val="nil"/>
        <w:bottom w:val="nil"/>
        <w:right w:val="nil"/>
        <w:between w:val="nil"/>
      </w:pBdr>
      <w:tabs>
        <w:tab w:val="right" w:pos="8647"/>
      </w:tabs>
      <w:spacing w:after="0" w:line="240" w:lineRule="auto"/>
      <w:rPr>
        <w:rFonts w:ascii="Arial" w:eastAsia="Arial" w:hAnsi="Arial" w:cs="Arial"/>
        <w:color w:val="000000"/>
        <w:sz w:val="16"/>
        <w:szCs w:val="16"/>
      </w:rPr>
    </w:pPr>
    <w:r>
      <w:rPr>
        <w:rFonts w:ascii="Arial" w:eastAsia="Arial" w:hAnsi="Arial" w:cs="Arial"/>
        <w:color w:val="000000"/>
        <w:sz w:val="16"/>
        <w:szCs w:val="16"/>
      </w:rPr>
      <w:t>V1.0</w:t>
    </w:r>
  </w:p>
  <w:p w:rsidR="007B20B5" w:rsidRDefault="007B20B5">
    <w:pPr>
      <w:pBdr>
        <w:top w:val="single" w:sz="6" w:space="1" w:color="000000"/>
        <w:left w:val="nil"/>
        <w:bottom w:val="nil"/>
        <w:right w:val="nil"/>
        <w:between w:val="nil"/>
      </w:pBdr>
      <w:tabs>
        <w:tab w:val="right" w:pos="8647"/>
      </w:tabs>
      <w:spacing w:after="0" w:line="240" w:lineRule="auto"/>
      <w:rPr>
        <w:rFonts w:ascii="Arial" w:eastAsia="Arial" w:hAnsi="Arial" w:cs="Arial"/>
        <w:color w:val="000000"/>
        <w:sz w:val="16"/>
        <w:szCs w:val="16"/>
      </w:rPr>
    </w:pPr>
    <w:r>
      <w:rPr>
        <w:rFonts w:ascii="Arial" w:eastAsia="Arial" w:hAnsi="Arial" w:cs="Arial"/>
        <w:color w:val="000000"/>
        <w:sz w:val="18"/>
        <w:szCs w:val="18"/>
      </w:rPr>
      <w:t>©crowncopyright201</w:t>
    </w:r>
    <w:r>
      <w:rPr>
        <w:rFonts w:ascii="Arial" w:eastAsia="Arial" w:hAnsi="Arial" w:cs="Arial"/>
        <w:sz w:val="18"/>
        <w:szCs w:val="18"/>
      </w:rPr>
      <w:t>8</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3314" w:rsidRDefault="004E3314">
      <w:pPr>
        <w:spacing w:after="0" w:line="240" w:lineRule="auto"/>
      </w:pPr>
      <w:r>
        <w:separator/>
      </w:r>
    </w:p>
  </w:footnote>
  <w:footnote w:type="continuationSeparator" w:id="0">
    <w:p w:rsidR="004E3314" w:rsidRDefault="004E3314">
      <w:pPr>
        <w:spacing w:after="0" w:line="240" w:lineRule="auto"/>
      </w:pPr>
      <w:r>
        <w:continuationSeparator/>
      </w:r>
    </w:p>
  </w:footnote>
  <w:footnote w:type="continuationNotice" w:id="1">
    <w:p w:rsidR="004E3314" w:rsidRDefault="004E3314">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20B5" w:rsidRDefault="007B20B5">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16"/>
        <w:szCs w:val="16"/>
      </w:rPr>
    </w:pPr>
    <w:r>
      <w:rPr>
        <w:rFonts w:ascii="Arial" w:eastAsia="Arial" w:hAnsi="Arial" w:cs="Arial"/>
        <w:color w:val="000000"/>
        <w:sz w:val="16"/>
        <w:szCs w:val="16"/>
      </w:rPr>
      <w:tab/>
    </w:r>
    <w:r>
      <w:rPr>
        <w:rFonts w:ascii="Arial" w:eastAsia="Arial" w:hAnsi="Arial" w:cs="Arial"/>
        <w:color w:val="000000"/>
        <w:sz w:val="16"/>
        <w:szCs w:val="16"/>
      </w:rPr>
      <w:tab/>
    </w:r>
    <w:r>
      <w:rPr>
        <w:rFonts w:ascii="Arial" w:eastAsia="Arial" w:hAnsi="Arial" w:cs="Arial"/>
        <w:color w:val="000000"/>
        <w:sz w:val="16"/>
        <w:szCs w:val="16"/>
      </w:rPr>
      <w:tab/>
    </w:r>
    <w:r>
      <w:rPr>
        <w:rFonts w:ascii="Arial" w:eastAsia="Arial" w:hAnsi="Arial" w:cs="Arial"/>
        <w:color w:val="000000"/>
        <w:sz w:val="16"/>
        <w:szCs w:val="16"/>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79045D"/>
    <w:multiLevelType w:val="multilevel"/>
    <w:tmpl w:val="32CE5152"/>
    <w:lvl w:ilvl="0">
      <w:start w:val="1"/>
      <w:numFmt w:val="bullet"/>
      <w:lvlText w:val="●"/>
      <w:lvlJc w:val="left"/>
      <w:pPr>
        <w:ind w:left="1457" w:hanging="360"/>
      </w:pPr>
      <w:rPr>
        <w:rFonts w:ascii="Noto Sans Symbols" w:eastAsia="Noto Sans Symbols" w:hAnsi="Noto Sans Symbols" w:cs="Noto Sans Symbols"/>
      </w:rPr>
    </w:lvl>
    <w:lvl w:ilvl="1">
      <w:start w:val="1"/>
      <w:numFmt w:val="bullet"/>
      <w:lvlText w:val="o"/>
      <w:lvlJc w:val="left"/>
      <w:pPr>
        <w:ind w:left="2177" w:hanging="360"/>
      </w:pPr>
      <w:rPr>
        <w:rFonts w:ascii="Courier New" w:eastAsia="Courier New" w:hAnsi="Courier New" w:cs="Courier New"/>
      </w:rPr>
    </w:lvl>
    <w:lvl w:ilvl="2">
      <w:start w:val="1"/>
      <w:numFmt w:val="bullet"/>
      <w:lvlText w:val="▪"/>
      <w:lvlJc w:val="left"/>
      <w:pPr>
        <w:ind w:left="2897" w:hanging="360"/>
      </w:pPr>
      <w:rPr>
        <w:rFonts w:ascii="Noto Sans Symbols" w:eastAsia="Noto Sans Symbols" w:hAnsi="Noto Sans Symbols" w:cs="Noto Sans Symbols"/>
      </w:rPr>
    </w:lvl>
    <w:lvl w:ilvl="3">
      <w:start w:val="1"/>
      <w:numFmt w:val="bullet"/>
      <w:lvlText w:val="●"/>
      <w:lvlJc w:val="left"/>
      <w:pPr>
        <w:ind w:left="3617" w:hanging="360"/>
      </w:pPr>
      <w:rPr>
        <w:rFonts w:ascii="Noto Sans Symbols" w:eastAsia="Noto Sans Symbols" w:hAnsi="Noto Sans Symbols" w:cs="Noto Sans Symbols"/>
      </w:rPr>
    </w:lvl>
    <w:lvl w:ilvl="4">
      <w:start w:val="1"/>
      <w:numFmt w:val="bullet"/>
      <w:lvlText w:val="o"/>
      <w:lvlJc w:val="left"/>
      <w:pPr>
        <w:ind w:left="4337" w:hanging="360"/>
      </w:pPr>
      <w:rPr>
        <w:rFonts w:ascii="Courier New" w:eastAsia="Courier New" w:hAnsi="Courier New" w:cs="Courier New"/>
      </w:rPr>
    </w:lvl>
    <w:lvl w:ilvl="5">
      <w:start w:val="1"/>
      <w:numFmt w:val="bullet"/>
      <w:lvlText w:val="▪"/>
      <w:lvlJc w:val="left"/>
      <w:pPr>
        <w:ind w:left="5057" w:hanging="360"/>
      </w:pPr>
      <w:rPr>
        <w:rFonts w:ascii="Noto Sans Symbols" w:eastAsia="Noto Sans Symbols" w:hAnsi="Noto Sans Symbols" w:cs="Noto Sans Symbols"/>
      </w:rPr>
    </w:lvl>
    <w:lvl w:ilvl="6">
      <w:start w:val="1"/>
      <w:numFmt w:val="bullet"/>
      <w:lvlText w:val="●"/>
      <w:lvlJc w:val="left"/>
      <w:pPr>
        <w:ind w:left="5777" w:hanging="360"/>
      </w:pPr>
      <w:rPr>
        <w:rFonts w:ascii="Noto Sans Symbols" w:eastAsia="Noto Sans Symbols" w:hAnsi="Noto Sans Symbols" w:cs="Noto Sans Symbols"/>
      </w:rPr>
    </w:lvl>
    <w:lvl w:ilvl="7">
      <w:start w:val="1"/>
      <w:numFmt w:val="bullet"/>
      <w:lvlText w:val="o"/>
      <w:lvlJc w:val="left"/>
      <w:pPr>
        <w:ind w:left="6497" w:hanging="360"/>
      </w:pPr>
      <w:rPr>
        <w:rFonts w:ascii="Courier New" w:eastAsia="Courier New" w:hAnsi="Courier New" w:cs="Courier New"/>
      </w:rPr>
    </w:lvl>
    <w:lvl w:ilvl="8">
      <w:start w:val="1"/>
      <w:numFmt w:val="bullet"/>
      <w:lvlText w:val="▪"/>
      <w:lvlJc w:val="left"/>
      <w:pPr>
        <w:ind w:left="7217" w:hanging="360"/>
      </w:pPr>
      <w:rPr>
        <w:rFonts w:ascii="Noto Sans Symbols" w:eastAsia="Noto Sans Symbols" w:hAnsi="Noto Sans Symbols" w:cs="Noto Sans Symbols"/>
      </w:rPr>
    </w:lvl>
  </w:abstractNum>
  <w:abstractNum w:abstractNumId="1" w15:restartNumberingAfterBreak="0">
    <w:nsid w:val="05072057"/>
    <w:multiLevelType w:val="multilevel"/>
    <w:tmpl w:val="D27EC89C"/>
    <w:lvl w:ilvl="0">
      <w:start w:val="1"/>
      <w:numFmt w:val="bullet"/>
      <w:lvlText w:val="●"/>
      <w:lvlJc w:val="left"/>
      <w:pPr>
        <w:ind w:left="2194" w:hanging="360"/>
      </w:pPr>
      <w:rPr>
        <w:rFonts w:ascii="Noto Sans Symbols" w:eastAsia="Noto Sans Symbols" w:hAnsi="Noto Sans Symbols" w:cs="Noto Sans Symbols"/>
      </w:rPr>
    </w:lvl>
    <w:lvl w:ilvl="1">
      <w:start w:val="1"/>
      <w:numFmt w:val="bullet"/>
      <w:lvlText w:val="o"/>
      <w:lvlJc w:val="left"/>
      <w:pPr>
        <w:ind w:left="2914" w:hanging="360"/>
      </w:pPr>
      <w:rPr>
        <w:rFonts w:ascii="Courier New" w:eastAsia="Courier New" w:hAnsi="Courier New" w:cs="Courier New"/>
      </w:rPr>
    </w:lvl>
    <w:lvl w:ilvl="2">
      <w:start w:val="1"/>
      <w:numFmt w:val="bullet"/>
      <w:lvlText w:val="▪"/>
      <w:lvlJc w:val="left"/>
      <w:pPr>
        <w:ind w:left="3634" w:hanging="360"/>
      </w:pPr>
      <w:rPr>
        <w:rFonts w:ascii="Noto Sans Symbols" w:eastAsia="Noto Sans Symbols" w:hAnsi="Noto Sans Symbols" w:cs="Noto Sans Symbols"/>
      </w:rPr>
    </w:lvl>
    <w:lvl w:ilvl="3">
      <w:start w:val="1"/>
      <w:numFmt w:val="bullet"/>
      <w:lvlText w:val="●"/>
      <w:lvlJc w:val="left"/>
      <w:pPr>
        <w:ind w:left="4354" w:hanging="360"/>
      </w:pPr>
      <w:rPr>
        <w:rFonts w:ascii="Noto Sans Symbols" w:eastAsia="Noto Sans Symbols" w:hAnsi="Noto Sans Symbols" w:cs="Noto Sans Symbols"/>
      </w:rPr>
    </w:lvl>
    <w:lvl w:ilvl="4">
      <w:start w:val="1"/>
      <w:numFmt w:val="bullet"/>
      <w:lvlText w:val="o"/>
      <w:lvlJc w:val="left"/>
      <w:pPr>
        <w:ind w:left="5074" w:hanging="360"/>
      </w:pPr>
      <w:rPr>
        <w:rFonts w:ascii="Courier New" w:eastAsia="Courier New" w:hAnsi="Courier New" w:cs="Courier New"/>
      </w:rPr>
    </w:lvl>
    <w:lvl w:ilvl="5">
      <w:start w:val="1"/>
      <w:numFmt w:val="bullet"/>
      <w:lvlText w:val="▪"/>
      <w:lvlJc w:val="left"/>
      <w:pPr>
        <w:ind w:left="5794" w:hanging="360"/>
      </w:pPr>
      <w:rPr>
        <w:rFonts w:ascii="Noto Sans Symbols" w:eastAsia="Noto Sans Symbols" w:hAnsi="Noto Sans Symbols" w:cs="Noto Sans Symbols"/>
      </w:rPr>
    </w:lvl>
    <w:lvl w:ilvl="6">
      <w:start w:val="1"/>
      <w:numFmt w:val="bullet"/>
      <w:lvlText w:val="●"/>
      <w:lvlJc w:val="left"/>
      <w:pPr>
        <w:ind w:left="6514" w:hanging="360"/>
      </w:pPr>
      <w:rPr>
        <w:rFonts w:ascii="Noto Sans Symbols" w:eastAsia="Noto Sans Symbols" w:hAnsi="Noto Sans Symbols" w:cs="Noto Sans Symbols"/>
      </w:rPr>
    </w:lvl>
    <w:lvl w:ilvl="7">
      <w:start w:val="1"/>
      <w:numFmt w:val="bullet"/>
      <w:lvlText w:val="o"/>
      <w:lvlJc w:val="left"/>
      <w:pPr>
        <w:ind w:left="7234" w:hanging="360"/>
      </w:pPr>
      <w:rPr>
        <w:rFonts w:ascii="Courier New" w:eastAsia="Courier New" w:hAnsi="Courier New" w:cs="Courier New"/>
      </w:rPr>
    </w:lvl>
    <w:lvl w:ilvl="8">
      <w:start w:val="1"/>
      <w:numFmt w:val="bullet"/>
      <w:lvlText w:val="▪"/>
      <w:lvlJc w:val="left"/>
      <w:pPr>
        <w:ind w:left="7954" w:hanging="360"/>
      </w:pPr>
      <w:rPr>
        <w:rFonts w:ascii="Noto Sans Symbols" w:eastAsia="Noto Sans Symbols" w:hAnsi="Noto Sans Symbols" w:cs="Noto Sans Symbols"/>
      </w:rPr>
    </w:lvl>
  </w:abstractNum>
  <w:abstractNum w:abstractNumId="2" w15:restartNumberingAfterBreak="0">
    <w:nsid w:val="068A7A1C"/>
    <w:multiLevelType w:val="multilevel"/>
    <w:tmpl w:val="CA4C6112"/>
    <w:lvl w:ilvl="0">
      <w:start w:val="1"/>
      <w:numFmt w:val="bullet"/>
      <w:lvlText w:val="●"/>
      <w:lvlJc w:val="left"/>
      <w:pPr>
        <w:ind w:left="2194" w:hanging="360"/>
      </w:pPr>
      <w:rPr>
        <w:rFonts w:ascii="Noto Sans Symbols" w:eastAsia="Noto Sans Symbols" w:hAnsi="Noto Sans Symbols" w:cs="Noto Sans Symbols"/>
      </w:rPr>
    </w:lvl>
    <w:lvl w:ilvl="1">
      <w:start w:val="1"/>
      <w:numFmt w:val="bullet"/>
      <w:lvlText w:val="o"/>
      <w:lvlJc w:val="left"/>
      <w:pPr>
        <w:ind w:left="2914" w:hanging="360"/>
      </w:pPr>
      <w:rPr>
        <w:rFonts w:ascii="Courier New" w:eastAsia="Courier New" w:hAnsi="Courier New" w:cs="Courier New"/>
      </w:rPr>
    </w:lvl>
    <w:lvl w:ilvl="2">
      <w:start w:val="1"/>
      <w:numFmt w:val="bullet"/>
      <w:lvlText w:val="▪"/>
      <w:lvlJc w:val="left"/>
      <w:pPr>
        <w:ind w:left="3634" w:hanging="360"/>
      </w:pPr>
      <w:rPr>
        <w:rFonts w:ascii="Noto Sans Symbols" w:eastAsia="Noto Sans Symbols" w:hAnsi="Noto Sans Symbols" w:cs="Noto Sans Symbols"/>
      </w:rPr>
    </w:lvl>
    <w:lvl w:ilvl="3">
      <w:start w:val="1"/>
      <w:numFmt w:val="bullet"/>
      <w:lvlText w:val="●"/>
      <w:lvlJc w:val="left"/>
      <w:pPr>
        <w:ind w:left="4354" w:hanging="360"/>
      </w:pPr>
      <w:rPr>
        <w:rFonts w:ascii="Noto Sans Symbols" w:eastAsia="Noto Sans Symbols" w:hAnsi="Noto Sans Symbols" w:cs="Noto Sans Symbols"/>
      </w:rPr>
    </w:lvl>
    <w:lvl w:ilvl="4">
      <w:start w:val="1"/>
      <w:numFmt w:val="bullet"/>
      <w:lvlText w:val="o"/>
      <w:lvlJc w:val="left"/>
      <w:pPr>
        <w:ind w:left="5074" w:hanging="360"/>
      </w:pPr>
      <w:rPr>
        <w:rFonts w:ascii="Courier New" w:eastAsia="Courier New" w:hAnsi="Courier New" w:cs="Courier New"/>
      </w:rPr>
    </w:lvl>
    <w:lvl w:ilvl="5">
      <w:start w:val="1"/>
      <w:numFmt w:val="bullet"/>
      <w:lvlText w:val="▪"/>
      <w:lvlJc w:val="left"/>
      <w:pPr>
        <w:ind w:left="5794" w:hanging="360"/>
      </w:pPr>
      <w:rPr>
        <w:rFonts w:ascii="Noto Sans Symbols" w:eastAsia="Noto Sans Symbols" w:hAnsi="Noto Sans Symbols" w:cs="Noto Sans Symbols"/>
      </w:rPr>
    </w:lvl>
    <w:lvl w:ilvl="6">
      <w:start w:val="1"/>
      <w:numFmt w:val="bullet"/>
      <w:lvlText w:val="●"/>
      <w:lvlJc w:val="left"/>
      <w:pPr>
        <w:ind w:left="6514" w:hanging="360"/>
      </w:pPr>
      <w:rPr>
        <w:rFonts w:ascii="Noto Sans Symbols" w:eastAsia="Noto Sans Symbols" w:hAnsi="Noto Sans Symbols" w:cs="Noto Sans Symbols"/>
      </w:rPr>
    </w:lvl>
    <w:lvl w:ilvl="7">
      <w:start w:val="1"/>
      <w:numFmt w:val="bullet"/>
      <w:lvlText w:val="o"/>
      <w:lvlJc w:val="left"/>
      <w:pPr>
        <w:ind w:left="7234" w:hanging="360"/>
      </w:pPr>
      <w:rPr>
        <w:rFonts w:ascii="Courier New" w:eastAsia="Courier New" w:hAnsi="Courier New" w:cs="Courier New"/>
      </w:rPr>
    </w:lvl>
    <w:lvl w:ilvl="8">
      <w:start w:val="1"/>
      <w:numFmt w:val="bullet"/>
      <w:lvlText w:val="▪"/>
      <w:lvlJc w:val="left"/>
      <w:pPr>
        <w:ind w:left="7954" w:hanging="360"/>
      </w:pPr>
      <w:rPr>
        <w:rFonts w:ascii="Noto Sans Symbols" w:eastAsia="Noto Sans Symbols" w:hAnsi="Noto Sans Symbols" w:cs="Noto Sans Symbols"/>
      </w:rPr>
    </w:lvl>
  </w:abstractNum>
  <w:abstractNum w:abstractNumId="3" w15:restartNumberingAfterBreak="0">
    <w:nsid w:val="068E290F"/>
    <w:multiLevelType w:val="multilevel"/>
    <w:tmpl w:val="C7A230F4"/>
    <w:lvl w:ilvl="0">
      <w:start w:val="1"/>
      <w:numFmt w:val="bullet"/>
      <w:lvlText w:val="●"/>
      <w:lvlJc w:val="left"/>
      <w:pPr>
        <w:ind w:left="2194" w:hanging="360"/>
      </w:pPr>
      <w:rPr>
        <w:rFonts w:ascii="Noto Sans Symbols" w:eastAsia="Noto Sans Symbols" w:hAnsi="Noto Sans Symbols" w:cs="Noto Sans Symbols"/>
      </w:rPr>
    </w:lvl>
    <w:lvl w:ilvl="1">
      <w:start w:val="1"/>
      <w:numFmt w:val="bullet"/>
      <w:lvlText w:val="o"/>
      <w:lvlJc w:val="left"/>
      <w:pPr>
        <w:ind w:left="2914" w:hanging="360"/>
      </w:pPr>
      <w:rPr>
        <w:rFonts w:ascii="Courier New" w:eastAsia="Courier New" w:hAnsi="Courier New" w:cs="Courier New"/>
      </w:rPr>
    </w:lvl>
    <w:lvl w:ilvl="2">
      <w:start w:val="1"/>
      <w:numFmt w:val="bullet"/>
      <w:lvlText w:val="▪"/>
      <w:lvlJc w:val="left"/>
      <w:pPr>
        <w:ind w:left="3634" w:hanging="360"/>
      </w:pPr>
      <w:rPr>
        <w:rFonts w:ascii="Noto Sans Symbols" w:eastAsia="Noto Sans Symbols" w:hAnsi="Noto Sans Symbols" w:cs="Noto Sans Symbols"/>
      </w:rPr>
    </w:lvl>
    <w:lvl w:ilvl="3">
      <w:start w:val="1"/>
      <w:numFmt w:val="bullet"/>
      <w:lvlText w:val="●"/>
      <w:lvlJc w:val="left"/>
      <w:pPr>
        <w:ind w:left="4354" w:hanging="360"/>
      </w:pPr>
      <w:rPr>
        <w:rFonts w:ascii="Noto Sans Symbols" w:eastAsia="Noto Sans Symbols" w:hAnsi="Noto Sans Symbols" w:cs="Noto Sans Symbols"/>
      </w:rPr>
    </w:lvl>
    <w:lvl w:ilvl="4">
      <w:start w:val="1"/>
      <w:numFmt w:val="bullet"/>
      <w:lvlText w:val="o"/>
      <w:lvlJc w:val="left"/>
      <w:pPr>
        <w:ind w:left="5074" w:hanging="360"/>
      </w:pPr>
      <w:rPr>
        <w:rFonts w:ascii="Courier New" w:eastAsia="Courier New" w:hAnsi="Courier New" w:cs="Courier New"/>
      </w:rPr>
    </w:lvl>
    <w:lvl w:ilvl="5">
      <w:start w:val="1"/>
      <w:numFmt w:val="bullet"/>
      <w:lvlText w:val="▪"/>
      <w:lvlJc w:val="left"/>
      <w:pPr>
        <w:ind w:left="5794" w:hanging="360"/>
      </w:pPr>
      <w:rPr>
        <w:rFonts w:ascii="Noto Sans Symbols" w:eastAsia="Noto Sans Symbols" w:hAnsi="Noto Sans Symbols" w:cs="Noto Sans Symbols"/>
      </w:rPr>
    </w:lvl>
    <w:lvl w:ilvl="6">
      <w:start w:val="1"/>
      <w:numFmt w:val="bullet"/>
      <w:lvlText w:val="●"/>
      <w:lvlJc w:val="left"/>
      <w:pPr>
        <w:ind w:left="6514" w:hanging="360"/>
      </w:pPr>
      <w:rPr>
        <w:rFonts w:ascii="Noto Sans Symbols" w:eastAsia="Noto Sans Symbols" w:hAnsi="Noto Sans Symbols" w:cs="Noto Sans Symbols"/>
      </w:rPr>
    </w:lvl>
    <w:lvl w:ilvl="7">
      <w:start w:val="1"/>
      <w:numFmt w:val="bullet"/>
      <w:lvlText w:val="o"/>
      <w:lvlJc w:val="left"/>
      <w:pPr>
        <w:ind w:left="7234" w:hanging="360"/>
      </w:pPr>
      <w:rPr>
        <w:rFonts w:ascii="Courier New" w:eastAsia="Courier New" w:hAnsi="Courier New" w:cs="Courier New"/>
      </w:rPr>
    </w:lvl>
    <w:lvl w:ilvl="8">
      <w:start w:val="1"/>
      <w:numFmt w:val="bullet"/>
      <w:lvlText w:val="▪"/>
      <w:lvlJc w:val="left"/>
      <w:pPr>
        <w:ind w:left="7954" w:hanging="360"/>
      </w:pPr>
      <w:rPr>
        <w:rFonts w:ascii="Noto Sans Symbols" w:eastAsia="Noto Sans Symbols" w:hAnsi="Noto Sans Symbols" w:cs="Noto Sans Symbols"/>
      </w:rPr>
    </w:lvl>
  </w:abstractNum>
  <w:abstractNum w:abstractNumId="4" w15:restartNumberingAfterBreak="0">
    <w:nsid w:val="0F94416A"/>
    <w:multiLevelType w:val="multilevel"/>
    <w:tmpl w:val="8FF4319C"/>
    <w:lvl w:ilvl="0">
      <w:start w:val="1"/>
      <w:numFmt w:val="decimal"/>
      <w:lvlText w:val="%1."/>
      <w:lvlJc w:val="left"/>
      <w:pPr>
        <w:ind w:left="360" w:hanging="360"/>
      </w:pPr>
      <w:rPr>
        <w:sz w:val="24"/>
        <w:szCs w:val="24"/>
      </w:rPr>
    </w:lvl>
    <w:lvl w:ilvl="1">
      <w:start w:val="1"/>
      <w:numFmt w:val="decimal"/>
      <w:lvlText w:val="%1.%2."/>
      <w:lvlJc w:val="left"/>
      <w:pPr>
        <w:ind w:left="1141" w:hanging="432"/>
      </w:pPr>
      <w:rPr>
        <w:b w:val="0"/>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F5B271D"/>
    <w:multiLevelType w:val="multilevel"/>
    <w:tmpl w:val="7BA49EF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61530D0"/>
    <w:multiLevelType w:val="multilevel"/>
    <w:tmpl w:val="8CCAA68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292C4533"/>
    <w:multiLevelType w:val="multilevel"/>
    <w:tmpl w:val="EEF841F2"/>
    <w:lvl w:ilvl="0">
      <w:start w:val="1"/>
      <w:numFmt w:val="lowerLetter"/>
      <w:lvlText w:val="%1)"/>
      <w:lvlJc w:val="left"/>
      <w:pPr>
        <w:ind w:left="3022" w:hanging="470"/>
      </w:pPr>
      <w:rPr>
        <w:rFonts w:ascii="Arial" w:eastAsia="Arial" w:hAnsi="Arial" w:cs="Arial"/>
      </w:rPr>
    </w:lvl>
    <w:lvl w:ilvl="1">
      <w:start w:val="1"/>
      <w:numFmt w:val="lowerLetter"/>
      <w:lvlText w:val="%2."/>
      <w:lvlJc w:val="left"/>
      <w:pPr>
        <w:ind w:left="3632" w:hanging="360"/>
      </w:pPr>
    </w:lvl>
    <w:lvl w:ilvl="2">
      <w:start w:val="1"/>
      <w:numFmt w:val="lowerRoman"/>
      <w:lvlText w:val="%3."/>
      <w:lvlJc w:val="right"/>
      <w:pPr>
        <w:ind w:left="4352" w:hanging="180"/>
      </w:pPr>
    </w:lvl>
    <w:lvl w:ilvl="3">
      <w:start w:val="1"/>
      <w:numFmt w:val="decimal"/>
      <w:lvlText w:val="%4."/>
      <w:lvlJc w:val="left"/>
      <w:pPr>
        <w:ind w:left="5072" w:hanging="360"/>
      </w:pPr>
    </w:lvl>
    <w:lvl w:ilvl="4">
      <w:start w:val="1"/>
      <w:numFmt w:val="lowerLetter"/>
      <w:lvlText w:val="%5."/>
      <w:lvlJc w:val="left"/>
      <w:pPr>
        <w:ind w:left="5792" w:hanging="360"/>
      </w:pPr>
    </w:lvl>
    <w:lvl w:ilvl="5">
      <w:start w:val="1"/>
      <w:numFmt w:val="lowerRoman"/>
      <w:lvlText w:val="%6."/>
      <w:lvlJc w:val="right"/>
      <w:pPr>
        <w:ind w:left="6512" w:hanging="180"/>
      </w:pPr>
    </w:lvl>
    <w:lvl w:ilvl="6">
      <w:start w:val="1"/>
      <w:numFmt w:val="decimal"/>
      <w:lvlText w:val="%7."/>
      <w:lvlJc w:val="left"/>
      <w:pPr>
        <w:ind w:left="7232" w:hanging="360"/>
      </w:pPr>
    </w:lvl>
    <w:lvl w:ilvl="7">
      <w:start w:val="1"/>
      <w:numFmt w:val="lowerLetter"/>
      <w:lvlText w:val="%8."/>
      <w:lvlJc w:val="left"/>
      <w:pPr>
        <w:ind w:left="7952" w:hanging="360"/>
      </w:pPr>
    </w:lvl>
    <w:lvl w:ilvl="8">
      <w:start w:val="1"/>
      <w:numFmt w:val="lowerRoman"/>
      <w:lvlText w:val="%9."/>
      <w:lvlJc w:val="right"/>
      <w:pPr>
        <w:ind w:left="8672" w:hanging="180"/>
      </w:pPr>
    </w:lvl>
  </w:abstractNum>
  <w:abstractNum w:abstractNumId="8" w15:restartNumberingAfterBreak="0">
    <w:nsid w:val="32C73D5B"/>
    <w:multiLevelType w:val="multilevel"/>
    <w:tmpl w:val="2DD48806"/>
    <w:lvl w:ilvl="0">
      <w:start w:val="1"/>
      <w:numFmt w:val="lowerLetter"/>
      <w:lvlText w:val="%1)"/>
      <w:lvlJc w:val="left"/>
      <w:pPr>
        <w:ind w:left="3022" w:hanging="470"/>
      </w:pPr>
      <w:rPr>
        <w:rFonts w:ascii="Arial" w:eastAsia="Arial" w:hAnsi="Arial" w:cs="Arial"/>
      </w:rPr>
    </w:lvl>
    <w:lvl w:ilvl="1">
      <w:start w:val="1"/>
      <w:numFmt w:val="lowerLetter"/>
      <w:lvlText w:val="%2."/>
      <w:lvlJc w:val="left"/>
      <w:pPr>
        <w:ind w:left="3632" w:hanging="360"/>
      </w:pPr>
    </w:lvl>
    <w:lvl w:ilvl="2">
      <w:start w:val="1"/>
      <w:numFmt w:val="lowerRoman"/>
      <w:lvlText w:val="%3."/>
      <w:lvlJc w:val="right"/>
      <w:pPr>
        <w:ind w:left="4352" w:hanging="180"/>
      </w:pPr>
    </w:lvl>
    <w:lvl w:ilvl="3">
      <w:start w:val="1"/>
      <w:numFmt w:val="decimal"/>
      <w:lvlText w:val="%4."/>
      <w:lvlJc w:val="left"/>
      <w:pPr>
        <w:ind w:left="5072" w:hanging="360"/>
      </w:pPr>
    </w:lvl>
    <w:lvl w:ilvl="4">
      <w:start w:val="1"/>
      <w:numFmt w:val="lowerLetter"/>
      <w:lvlText w:val="%5."/>
      <w:lvlJc w:val="left"/>
      <w:pPr>
        <w:ind w:left="5792" w:hanging="360"/>
      </w:pPr>
    </w:lvl>
    <w:lvl w:ilvl="5">
      <w:start w:val="1"/>
      <w:numFmt w:val="lowerRoman"/>
      <w:lvlText w:val="%6."/>
      <w:lvlJc w:val="right"/>
      <w:pPr>
        <w:ind w:left="6512" w:hanging="180"/>
      </w:pPr>
    </w:lvl>
    <w:lvl w:ilvl="6">
      <w:start w:val="1"/>
      <w:numFmt w:val="decimal"/>
      <w:lvlText w:val="%7."/>
      <w:lvlJc w:val="left"/>
      <w:pPr>
        <w:ind w:left="7232" w:hanging="360"/>
      </w:pPr>
    </w:lvl>
    <w:lvl w:ilvl="7">
      <w:start w:val="1"/>
      <w:numFmt w:val="lowerLetter"/>
      <w:lvlText w:val="%8."/>
      <w:lvlJc w:val="left"/>
      <w:pPr>
        <w:ind w:left="7952" w:hanging="360"/>
      </w:pPr>
    </w:lvl>
    <w:lvl w:ilvl="8">
      <w:start w:val="1"/>
      <w:numFmt w:val="lowerRoman"/>
      <w:lvlText w:val="%9."/>
      <w:lvlJc w:val="right"/>
      <w:pPr>
        <w:ind w:left="8672" w:hanging="180"/>
      </w:pPr>
    </w:lvl>
  </w:abstractNum>
  <w:abstractNum w:abstractNumId="9" w15:restartNumberingAfterBreak="0">
    <w:nsid w:val="3ABE4C90"/>
    <w:multiLevelType w:val="multilevel"/>
    <w:tmpl w:val="E9E22D10"/>
    <w:lvl w:ilvl="0">
      <w:start w:val="1"/>
      <w:numFmt w:val="decimal"/>
      <w:lvlText w:val="%1."/>
      <w:lvlJc w:val="left"/>
      <w:pPr>
        <w:ind w:left="737" w:hanging="737"/>
      </w:pPr>
      <w:rPr>
        <w:smallCaps w:val="0"/>
      </w:rPr>
    </w:lvl>
    <w:lvl w:ilvl="1">
      <w:start w:val="1"/>
      <w:numFmt w:val="decimal"/>
      <w:lvlText w:val="%1.%2"/>
      <w:lvlJc w:val="left"/>
      <w:pPr>
        <w:ind w:left="737" w:hanging="737"/>
      </w:pPr>
      <w:rPr>
        <w:b w:val="0"/>
        <w:smallCaps w:val="0"/>
        <w:sz w:val="22"/>
        <w:szCs w:val="22"/>
      </w:rPr>
    </w:lvl>
    <w:lvl w:ilvl="2">
      <w:start w:val="1"/>
      <w:numFmt w:val="decimal"/>
      <w:lvlText w:val="%1.%2.%3"/>
      <w:lvlJc w:val="left"/>
      <w:pPr>
        <w:ind w:left="4139" w:hanging="737"/>
      </w:pPr>
      <w:rPr>
        <w:b w:val="0"/>
        <w:i w:val="0"/>
        <w:smallCaps w:val="0"/>
        <w:strike w:val="0"/>
        <w:color w:val="000000"/>
        <w:sz w:val="22"/>
        <w:szCs w:val="22"/>
        <w:u w:val="none"/>
        <w:vertAlign w:val="baseline"/>
      </w:rPr>
    </w:lvl>
    <w:lvl w:ilvl="3">
      <w:start w:val="1"/>
      <w:numFmt w:val="decimal"/>
      <w:lvlText w:val="%1.%2.%3.%4"/>
      <w:lvlJc w:val="left"/>
      <w:pPr>
        <w:ind w:left="2268" w:hanging="794"/>
      </w:pPr>
      <w:rPr>
        <w:b w:val="0"/>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0" w15:restartNumberingAfterBreak="0">
    <w:nsid w:val="4A31710C"/>
    <w:multiLevelType w:val="multilevel"/>
    <w:tmpl w:val="5220F2D4"/>
    <w:lvl w:ilvl="0">
      <w:start w:val="1"/>
      <w:numFmt w:val="decimal"/>
      <w:lvlText w:val="%1."/>
      <w:lvlJc w:val="left"/>
      <w:pPr>
        <w:ind w:left="737" w:hanging="737"/>
      </w:pPr>
      <w:rPr>
        <w:smallCaps w:val="0"/>
      </w:rPr>
    </w:lvl>
    <w:lvl w:ilvl="1">
      <w:start w:val="1"/>
      <w:numFmt w:val="decimal"/>
      <w:lvlText w:val="%1.%2"/>
      <w:lvlJc w:val="left"/>
      <w:pPr>
        <w:ind w:left="737" w:hanging="737"/>
      </w:pPr>
      <w:rPr>
        <w:b w:val="0"/>
        <w:smallCaps w:val="0"/>
        <w:sz w:val="22"/>
        <w:szCs w:val="22"/>
      </w:rPr>
    </w:lvl>
    <w:lvl w:ilvl="2">
      <w:start w:val="1"/>
      <w:numFmt w:val="decimal"/>
      <w:lvlText w:val="%1.%2.%3"/>
      <w:lvlJc w:val="left"/>
      <w:pPr>
        <w:ind w:left="4139" w:hanging="737"/>
      </w:pPr>
      <w:rPr>
        <w:b w:val="0"/>
        <w:i w:val="0"/>
        <w:smallCaps w:val="0"/>
        <w:strike w:val="0"/>
        <w:color w:val="000000"/>
        <w:sz w:val="22"/>
        <w:szCs w:val="22"/>
        <w:u w:val="none"/>
        <w:vertAlign w:val="baseline"/>
      </w:rPr>
    </w:lvl>
    <w:lvl w:ilvl="3">
      <w:start w:val="1"/>
      <w:numFmt w:val="decimal"/>
      <w:lvlText w:val="%1.%2.%3.%4"/>
      <w:lvlJc w:val="left"/>
      <w:pPr>
        <w:ind w:left="2268" w:hanging="794"/>
      </w:pPr>
      <w:rPr>
        <w:b w:val="0"/>
        <w:smallCaps w:val="0"/>
      </w:rPr>
    </w:lvl>
    <w:lvl w:ilvl="4">
      <w:start w:val="1"/>
      <w:numFmt w:val="lowerLetter"/>
      <w:lvlText w:val="(%5)"/>
      <w:lvlJc w:val="left"/>
      <w:pPr>
        <w:ind w:left="3600" w:hanging="720"/>
      </w:pPr>
      <w:rPr>
        <w:smallCaps w:val="0"/>
      </w:rPr>
    </w:lvl>
    <w:lvl w:ilvl="5">
      <w:start w:val="1"/>
      <w:numFmt w:val="lowerRoman"/>
      <w:lvlText w:val="(%6)"/>
      <w:lvlJc w:val="left"/>
      <w:pPr>
        <w:ind w:left="4320" w:hanging="720"/>
      </w:pPr>
      <w:rPr>
        <w:smallCaps w:val="0"/>
      </w:rPr>
    </w:lvl>
    <w:lvl w:ilvl="6">
      <w:start w:val="1"/>
      <w:numFmt w:val="decimal"/>
      <w:lvlText w:val="(%7)"/>
      <w:lvlJc w:val="left"/>
      <w:pPr>
        <w:ind w:left="5040" w:hanging="720"/>
      </w:pPr>
      <w:rPr>
        <w:smallCaps w:val="0"/>
      </w:rPr>
    </w:lvl>
    <w:lvl w:ilvl="7">
      <w:start w:val="1"/>
      <w:numFmt w:val="decimal"/>
      <w:lvlText w:val=""/>
      <w:lvlJc w:val="left"/>
      <w:pPr>
        <w:ind w:left="5040" w:hanging="720"/>
      </w:pPr>
      <w:rPr>
        <w:smallCaps w:val="0"/>
      </w:rPr>
    </w:lvl>
    <w:lvl w:ilvl="8">
      <w:start w:val="1"/>
      <w:numFmt w:val="decimal"/>
      <w:lvlText w:val=""/>
      <w:lvlJc w:val="left"/>
      <w:pPr>
        <w:ind w:left="5040" w:hanging="720"/>
      </w:pPr>
      <w:rPr>
        <w:smallCaps w:val="0"/>
      </w:rPr>
    </w:lvl>
  </w:abstractNum>
  <w:abstractNum w:abstractNumId="11" w15:restartNumberingAfterBreak="0">
    <w:nsid w:val="55393F6C"/>
    <w:multiLevelType w:val="multilevel"/>
    <w:tmpl w:val="8C2030F6"/>
    <w:lvl w:ilvl="0">
      <w:start w:val="1"/>
      <w:numFmt w:val="bullet"/>
      <w:lvlText w:val="●"/>
      <w:lvlJc w:val="left"/>
      <w:pPr>
        <w:ind w:left="1457" w:hanging="360"/>
      </w:pPr>
      <w:rPr>
        <w:rFonts w:ascii="Noto Sans Symbols" w:eastAsia="Noto Sans Symbols" w:hAnsi="Noto Sans Symbols" w:cs="Noto Sans Symbols"/>
      </w:rPr>
    </w:lvl>
    <w:lvl w:ilvl="1">
      <w:start w:val="1"/>
      <w:numFmt w:val="bullet"/>
      <w:lvlText w:val="o"/>
      <w:lvlJc w:val="left"/>
      <w:pPr>
        <w:ind w:left="2177" w:hanging="360"/>
      </w:pPr>
      <w:rPr>
        <w:rFonts w:ascii="Courier New" w:eastAsia="Courier New" w:hAnsi="Courier New" w:cs="Courier New"/>
      </w:rPr>
    </w:lvl>
    <w:lvl w:ilvl="2">
      <w:start w:val="1"/>
      <w:numFmt w:val="bullet"/>
      <w:lvlText w:val="▪"/>
      <w:lvlJc w:val="left"/>
      <w:pPr>
        <w:ind w:left="2897" w:hanging="360"/>
      </w:pPr>
      <w:rPr>
        <w:rFonts w:ascii="Noto Sans Symbols" w:eastAsia="Noto Sans Symbols" w:hAnsi="Noto Sans Symbols" w:cs="Noto Sans Symbols"/>
      </w:rPr>
    </w:lvl>
    <w:lvl w:ilvl="3">
      <w:start w:val="1"/>
      <w:numFmt w:val="bullet"/>
      <w:lvlText w:val="●"/>
      <w:lvlJc w:val="left"/>
      <w:pPr>
        <w:ind w:left="3617" w:hanging="360"/>
      </w:pPr>
      <w:rPr>
        <w:rFonts w:ascii="Noto Sans Symbols" w:eastAsia="Noto Sans Symbols" w:hAnsi="Noto Sans Symbols" w:cs="Noto Sans Symbols"/>
      </w:rPr>
    </w:lvl>
    <w:lvl w:ilvl="4">
      <w:start w:val="1"/>
      <w:numFmt w:val="bullet"/>
      <w:lvlText w:val="o"/>
      <w:lvlJc w:val="left"/>
      <w:pPr>
        <w:ind w:left="4337" w:hanging="360"/>
      </w:pPr>
      <w:rPr>
        <w:rFonts w:ascii="Courier New" w:eastAsia="Courier New" w:hAnsi="Courier New" w:cs="Courier New"/>
      </w:rPr>
    </w:lvl>
    <w:lvl w:ilvl="5">
      <w:start w:val="1"/>
      <w:numFmt w:val="bullet"/>
      <w:lvlText w:val="▪"/>
      <w:lvlJc w:val="left"/>
      <w:pPr>
        <w:ind w:left="5057" w:hanging="360"/>
      </w:pPr>
      <w:rPr>
        <w:rFonts w:ascii="Noto Sans Symbols" w:eastAsia="Noto Sans Symbols" w:hAnsi="Noto Sans Symbols" w:cs="Noto Sans Symbols"/>
      </w:rPr>
    </w:lvl>
    <w:lvl w:ilvl="6">
      <w:start w:val="1"/>
      <w:numFmt w:val="bullet"/>
      <w:lvlText w:val="●"/>
      <w:lvlJc w:val="left"/>
      <w:pPr>
        <w:ind w:left="5777" w:hanging="360"/>
      </w:pPr>
      <w:rPr>
        <w:rFonts w:ascii="Noto Sans Symbols" w:eastAsia="Noto Sans Symbols" w:hAnsi="Noto Sans Symbols" w:cs="Noto Sans Symbols"/>
      </w:rPr>
    </w:lvl>
    <w:lvl w:ilvl="7">
      <w:start w:val="1"/>
      <w:numFmt w:val="bullet"/>
      <w:lvlText w:val="o"/>
      <w:lvlJc w:val="left"/>
      <w:pPr>
        <w:ind w:left="6497" w:hanging="360"/>
      </w:pPr>
      <w:rPr>
        <w:rFonts w:ascii="Courier New" w:eastAsia="Courier New" w:hAnsi="Courier New" w:cs="Courier New"/>
      </w:rPr>
    </w:lvl>
    <w:lvl w:ilvl="8">
      <w:start w:val="1"/>
      <w:numFmt w:val="bullet"/>
      <w:lvlText w:val="▪"/>
      <w:lvlJc w:val="left"/>
      <w:pPr>
        <w:ind w:left="7217" w:hanging="360"/>
      </w:pPr>
      <w:rPr>
        <w:rFonts w:ascii="Noto Sans Symbols" w:eastAsia="Noto Sans Symbols" w:hAnsi="Noto Sans Symbols" w:cs="Noto Sans Symbols"/>
      </w:rPr>
    </w:lvl>
  </w:abstractNum>
  <w:abstractNum w:abstractNumId="12" w15:restartNumberingAfterBreak="0">
    <w:nsid w:val="5E9542AA"/>
    <w:multiLevelType w:val="multilevel"/>
    <w:tmpl w:val="5E22C4C6"/>
    <w:lvl w:ilvl="0">
      <w:start w:val="1"/>
      <w:numFmt w:val="bullet"/>
      <w:lvlText w:val="●"/>
      <w:lvlJc w:val="left"/>
      <w:pPr>
        <w:ind w:left="2194" w:hanging="360"/>
      </w:pPr>
      <w:rPr>
        <w:rFonts w:ascii="Noto Sans Symbols" w:eastAsia="Noto Sans Symbols" w:hAnsi="Noto Sans Symbols" w:cs="Noto Sans Symbols"/>
      </w:rPr>
    </w:lvl>
    <w:lvl w:ilvl="1">
      <w:start w:val="1"/>
      <w:numFmt w:val="bullet"/>
      <w:lvlText w:val="o"/>
      <w:lvlJc w:val="left"/>
      <w:pPr>
        <w:ind w:left="2914" w:hanging="360"/>
      </w:pPr>
      <w:rPr>
        <w:rFonts w:ascii="Courier New" w:eastAsia="Courier New" w:hAnsi="Courier New" w:cs="Courier New"/>
      </w:rPr>
    </w:lvl>
    <w:lvl w:ilvl="2">
      <w:start w:val="1"/>
      <w:numFmt w:val="bullet"/>
      <w:lvlText w:val="▪"/>
      <w:lvlJc w:val="left"/>
      <w:pPr>
        <w:ind w:left="3634" w:hanging="360"/>
      </w:pPr>
      <w:rPr>
        <w:rFonts w:ascii="Noto Sans Symbols" w:eastAsia="Noto Sans Symbols" w:hAnsi="Noto Sans Symbols" w:cs="Noto Sans Symbols"/>
      </w:rPr>
    </w:lvl>
    <w:lvl w:ilvl="3">
      <w:start w:val="1"/>
      <w:numFmt w:val="bullet"/>
      <w:lvlText w:val="●"/>
      <w:lvlJc w:val="left"/>
      <w:pPr>
        <w:ind w:left="4354" w:hanging="360"/>
      </w:pPr>
      <w:rPr>
        <w:rFonts w:ascii="Noto Sans Symbols" w:eastAsia="Noto Sans Symbols" w:hAnsi="Noto Sans Symbols" w:cs="Noto Sans Symbols"/>
      </w:rPr>
    </w:lvl>
    <w:lvl w:ilvl="4">
      <w:start w:val="1"/>
      <w:numFmt w:val="bullet"/>
      <w:lvlText w:val="o"/>
      <w:lvlJc w:val="left"/>
      <w:pPr>
        <w:ind w:left="5074" w:hanging="360"/>
      </w:pPr>
      <w:rPr>
        <w:rFonts w:ascii="Courier New" w:eastAsia="Courier New" w:hAnsi="Courier New" w:cs="Courier New"/>
      </w:rPr>
    </w:lvl>
    <w:lvl w:ilvl="5">
      <w:start w:val="1"/>
      <w:numFmt w:val="bullet"/>
      <w:lvlText w:val="▪"/>
      <w:lvlJc w:val="left"/>
      <w:pPr>
        <w:ind w:left="5794" w:hanging="360"/>
      </w:pPr>
      <w:rPr>
        <w:rFonts w:ascii="Noto Sans Symbols" w:eastAsia="Noto Sans Symbols" w:hAnsi="Noto Sans Symbols" w:cs="Noto Sans Symbols"/>
      </w:rPr>
    </w:lvl>
    <w:lvl w:ilvl="6">
      <w:start w:val="1"/>
      <w:numFmt w:val="bullet"/>
      <w:lvlText w:val="●"/>
      <w:lvlJc w:val="left"/>
      <w:pPr>
        <w:ind w:left="6514" w:hanging="360"/>
      </w:pPr>
      <w:rPr>
        <w:rFonts w:ascii="Noto Sans Symbols" w:eastAsia="Noto Sans Symbols" w:hAnsi="Noto Sans Symbols" w:cs="Noto Sans Symbols"/>
      </w:rPr>
    </w:lvl>
    <w:lvl w:ilvl="7">
      <w:start w:val="1"/>
      <w:numFmt w:val="bullet"/>
      <w:lvlText w:val="o"/>
      <w:lvlJc w:val="left"/>
      <w:pPr>
        <w:ind w:left="7234" w:hanging="360"/>
      </w:pPr>
      <w:rPr>
        <w:rFonts w:ascii="Courier New" w:eastAsia="Courier New" w:hAnsi="Courier New" w:cs="Courier New"/>
      </w:rPr>
    </w:lvl>
    <w:lvl w:ilvl="8">
      <w:start w:val="1"/>
      <w:numFmt w:val="bullet"/>
      <w:lvlText w:val="▪"/>
      <w:lvlJc w:val="left"/>
      <w:pPr>
        <w:ind w:left="7954" w:hanging="360"/>
      </w:pPr>
      <w:rPr>
        <w:rFonts w:ascii="Noto Sans Symbols" w:eastAsia="Noto Sans Symbols" w:hAnsi="Noto Sans Symbols" w:cs="Noto Sans Symbols"/>
      </w:rPr>
    </w:lvl>
  </w:abstractNum>
  <w:abstractNum w:abstractNumId="13" w15:restartNumberingAfterBreak="0">
    <w:nsid w:val="60C8342A"/>
    <w:multiLevelType w:val="multilevel"/>
    <w:tmpl w:val="B6E2A0EC"/>
    <w:lvl w:ilvl="0">
      <w:start w:val="1"/>
      <w:numFmt w:val="bullet"/>
      <w:lvlText w:val="●"/>
      <w:lvlJc w:val="left"/>
      <w:pPr>
        <w:ind w:left="3742" w:hanging="360"/>
      </w:pPr>
      <w:rPr>
        <w:rFonts w:ascii="Noto Sans Symbols" w:eastAsia="Noto Sans Symbols" w:hAnsi="Noto Sans Symbols" w:cs="Noto Sans Symbols"/>
      </w:rPr>
    </w:lvl>
    <w:lvl w:ilvl="1">
      <w:start w:val="1"/>
      <w:numFmt w:val="bullet"/>
      <w:lvlText w:val="o"/>
      <w:lvlJc w:val="left"/>
      <w:pPr>
        <w:ind w:left="4462" w:hanging="360"/>
      </w:pPr>
      <w:rPr>
        <w:rFonts w:ascii="Courier New" w:eastAsia="Courier New" w:hAnsi="Courier New" w:cs="Courier New"/>
      </w:rPr>
    </w:lvl>
    <w:lvl w:ilvl="2">
      <w:start w:val="1"/>
      <w:numFmt w:val="bullet"/>
      <w:lvlText w:val="▪"/>
      <w:lvlJc w:val="left"/>
      <w:pPr>
        <w:ind w:left="5182" w:hanging="360"/>
      </w:pPr>
      <w:rPr>
        <w:rFonts w:ascii="Noto Sans Symbols" w:eastAsia="Noto Sans Symbols" w:hAnsi="Noto Sans Symbols" w:cs="Noto Sans Symbols"/>
      </w:rPr>
    </w:lvl>
    <w:lvl w:ilvl="3">
      <w:start w:val="1"/>
      <w:numFmt w:val="bullet"/>
      <w:lvlText w:val="●"/>
      <w:lvlJc w:val="left"/>
      <w:pPr>
        <w:ind w:left="5902" w:hanging="360"/>
      </w:pPr>
      <w:rPr>
        <w:rFonts w:ascii="Noto Sans Symbols" w:eastAsia="Noto Sans Symbols" w:hAnsi="Noto Sans Symbols" w:cs="Noto Sans Symbols"/>
      </w:rPr>
    </w:lvl>
    <w:lvl w:ilvl="4">
      <w:start w:val="1"/>
      <w:numFmt w:val="bullet"/>
      <w:lvlText w:val="o"/>
      <w:lvlJc w:val="left"/>
      <w:pPr>
        <w:ind w:left="6622" w:hanging="360"/>
      </w:pPr>
      <w:rPr>
        <w:rFonts w:ascii="Courier New" w:eastAsia="Courier New" w:hAnsi="Courier New" w:cs="Courier New"/>
      </w:rPr>
    </w:lvl>
    <w:lvl w:ilvl="5">
      <w:start w:val="1"/>
      <w:numFmt w:val="bullet"/>
      <w:lvlText w:val="▪"/>
      <w:lvlJc w:val="left"/>
      <w:pPr>
        <w:ind w:left="7342" w:hanging="360"/>
      </w:pPr>
      <w:rPr>
        <w:rFonts w:ascii="Noto Sans Symbols" w:eastAsia="Noto Sans Symbols" w:hAnsi="Noto Sans Symbols" w:cs="Noto Sans Symbols"/>
      </w:rPr>
    </w:lvl>
    <w:lvl w:ilvl="6">
      <w:start w:val="1"/>
      <w:numFmt w:val="bullet"/>
      <w:lvlText w:val="●"/>
      <w:lvlJc w:val="left"/>
      <w:pPr>
        <w:ind w:left="8062" w:hanging="360"/>
      </w:pPr>
      <w:rPr>
        <w:rFonts w:ascii="Noto Sans Symbols" w:eastAsia="Noto Sans Symbols" w:hAnsi="Noto Sans Symbols" w:cs="Noto Sans Symbols"/>
      </w:rPr>
    </w:lvl>
    <w:lvl w:ilvl="7">
      <w:start w:val="1"/>
      <w:numFmt w:val="bullet"/>
      <w:lvlText w:val="o"/>
      <w:lvlJc w:val="left"/>
      <w:pPr>
        <w:ind w:left="8782" w:hanging="360"/>
      </w:pPr>
      <w:rPr>
        <w:rFonts w:ascii="Courier New" w:eastAsia="Courier New" w:hAnsi="Courier New" w:cs="Courier New"/>
      </w:rPr>
    </w:lvl>
    <w:lvl w:ilvl="8">
      <w:start w:val="1"/>
      <w:numFmt w:val="bullet"/>
      <w:lvlText w:val="▪"/>
      <w:lvlJc w:val="left"/>
      <w:pPr>
        <w:ind w:left="9502" w:hanging="360"/>
      </w:pPr>
      <w:rPr>
        <w:rFonts w:ascii="Noto Sans Symbols" w:eastAsia="Noto Sans Symbols" w:hAnsi="Noto Sans Symbols" w:cs="Noto Sans Symbols"/>
      </w:rPr>
    </w:lvl>
  </w:abstractNum>
  <w:abstractNum w:abstractNumId="14" w15:restartNumberingAfterBreak="0">
    <w:nsid w:val="75D24C50"/>
    <w:multiLevelType w:val="multilevel"/>
    <w:tmpl w:val="DA4E7918"/>
    <w:lvl w:ilvl="0">
      <w:start w:val="1"/>
      <w:numFmt w:val="bullet"/>
      <w:lvlText w:val="●"/>
      <w:lvlJc w:val="left"/>
      <w:pPr>
        <w:ind w:left="3742" w:hanging="360"/>
      </w:pPr>
      <w:rPr>
        <w:rFonts w:ascii="Noto Sans Symbols" w:eastAsia="Noto Sans Symbols" w:hAnsi="Noto Sans Symbols" w:cs="Noto Sans Symbols"/>
      </w:rPr>
    </w:lvl>
    <w:lvl w:ilvl="1">
      <w:start w:val="1"/>
      <w:numFmt w:val="bullet"/>
      <w:lvlText w:val="o"/>
      <w:lvlJc w:val="left"/>
      <w:pPr>
        <w:ind w:left="4462" w:hanging="360"/>
      </w:pPr>
      <w:rPr>
        <w:rFonts w:ascii="Courier New" w:eastAsia="Courier New" w:hAnsi="Courier New" w:cs="Courier New"/>
      </w:rPr>
    </w:lvl>
    <w:lvl w:ilvl="2">
      <w:start w:val="1"/>
      <w:numFmt w:val="bullet"/>
      <w:lvlText w:val="▪"/>
      <w:lvlJc w:val="left"/>
      <w:pPr>
        <w:ind w:left="5182" w:hanging="360"/>
      </w:pPr>
      <w:rPr>
        <w:rFonts w:ascii="Noto Sans Symbols" w:eastAsia="Noto Sans Symbols" w:hAnsi="Noto Sans Symbols" w:cs="Noto Sans Symbols"/>
      </w:rPr>
    </w:lvl>
    <w:lvl w:ilvl="3">
      <w:start w:val="1"/>
      <w:numFmt w:val="bullet"/>
      <w:lvlText w:val="●"/>
      <w:lvlJc w:val="left"/>
      <w:pPr>
        <w:ind w:left="5902" w:hanging="360"/>
      </w:pPr>
      <w:rPr>
        <w:rFonts w:ascii="Noto Sans Symbols" w:eastAsia="Noto Sans Symbols" w:hAnsi="Noto Sans Symbols" w:cs="Noto Sans Symbols"/>
      </w:rPr>
    </w:lvl>
    <w:lvl w:ilvl="4">
      <w:start w:val="1"/>
      <w:numFmt w:val="bullet"/>
      <w:lvlText w:val="o"/>
      <w:lvlJc w:val="left"/>
      <w:pPr>
        <w:ind w:left="6622" w:hanging="360"/>
      </w:pPr>
      <w:rPr>
        <w:rFonts w:ascii="Courier New" w:eastAsia="Courier New" w:hAnsi="Courier New" w:cs="Courier New"/>
      </w:rPr>
    </w:lvl>
    <w:lvl w:ilvl="5">
      <w:start w:val="1"/>
      <w:numFmt w:val="bullet"/>
      <w:lvlText w:val="▪"/>
      <w:lvlJc w:val="left"/>
      <w:pPr>
        <w:ind w:left="7342" w:hanging="360"/>
      </w:pPr>
      <w:rPr>
        <w:rFonts w:ascii="Noto Sans Symbols" w:eastAsia="Noto Sans Symbols" w:hAnsi="Noto Sans Symbols" w:cs="Noto Sans Symbols"/>
      </w:rPr>
    </w:lvl>
    <w:lvl w:ilvl="6">
      <w:start w:val="1"/>
      <w:numFmt w:val="bullet"/>
      <w:lvlText w:val="●"/>
      <w:lvlJc w:val="left"/>
      <w:pPr>
        <w:ind w:left="8062" w:hanging="360"/>
      </w:pPr>
      <w:rPr>
        <w:rFonts w:ascii="Noto Sans Symbols" w:eastAsia="Noto Sans Symbols" w:hAnsi="Noto Sans Symbols" w:cs="Noto Sans Symbols"/>
      </w:rPr>
    </w:lvl>
    <w:lvl w:ilvl="7">
      <w:start w:val="1"/>
      <w:numFmt w:val="bullet"/>
      <w:lvlText w:val="o"/>
      <w:lvlJc w:val="left"/>
      <w:pPr>
        <w:ind w:left="8782" w:hanging="360"/>
      </w:pPr>
      <w:rPr>
        <w:rFonts w:ascii="Courier New" w:eastAsia="Courier New" w:hAnsi="Courier New" w:cs="Courier New"/>
      </w:rPr>
    </w:lvl>
    <w:lvl w:ilvl="8">
      <w:start w:val="1"/>
      <w:numFmt w:val="bullet"/>
      <w:lvlText w:val="▪"/>
      <w:lvlJc w:val="left"/>
      <w:pPr>
        <w:ind w:left="9502" w:hanging="360"/>
      </w:pPr>
      <w:rPr>
        <w:rFonts w:ascii="Noto Sans Symbols" w:eastAsia="Noto Sans Symbols" w:hAnsi="Noto Sans Symbols" w:cs="Noto Sans Symbols"/>
      </w:rPr>
    </w:lvl>
  </w:abstractNum>
  <w:abstractNum w:abstractNumId="15" w15:restartNumberingAfterBreak="0">
    <w:nsid w:val="77E6058B"/>
    <w:multiLevelType w:val="multilevel"/>
    <w:tmpl w:val="B756D89C"/>
    <w:lvl w:ilvl="0">
      <w:start w:val="1"/>
      <w:numFmt w:val="bullet"/>
      <w:lvlText w:val="●"/>
      <w:lvlJc w:val="left"/>
      <w:pPr>
        <w:ind w:left="2194" w:hanging="360"/>
      </w:pPr>
      <w:rPr>
        <w:rFonts w:ascii="Noto Sans Symbols" w:eastAsia="Noto Sans Symbols" w:hAnsi="Noto Sans Symbols" w:cs="Noto Sans Symbols"/>
      </w:rPr>
    </w:lvl>
    <w:lvl w:ilvl="1">
      <w:start w:val="1"/>
      <w:numFmt w:val="bullet"/>
      <w:lvlText w:val="o"/>
      <w:lvlJc w:val="left"/>
      <w:pPr>
        <w:ind w:left="2914" w:hanging="360"/>
      </w:pPr>
      <w:rPr>
        <w:rFonts w:ascii="Courier New" w:eastAsia="Courier New" w:hAnsi="Courier New" w:cs="Courier New"/>
      </w:rPr>
    </w:lvl>
    <w:lvl w:ilvl="2">
      <w:start w:val="1"/>
      <w:numFmt w:val="bullet"/>
      <w:lvlText w:val="▪"/>
      <w:lvlJc w:val="left"/>
      <w:pPr>
        <w:ind w:left="3634" w:hanging="360"/>
      </w:pPr>
      <w:rPr>
        <w:rFonts w:ascii="Noto Sans Symbols" w:eastAsia="Noto Sans Symbols" w:hAnsi="Noto Sans Symbols" w:cs="Noto Sans Symbols"/>
      </w:rPr>
    </w:lvl>
    <w:lvl w:ilvl="3">
      <w:start w:val="1"/>
      <w:numFmt w:val="bullet"/>
      <w:lvlText w:val="●"/>
      <w:lvlJc w:val="left"/>
      <w:pPr>
        <w:ind w:left="4354" w:hanging="360"/>
      </w:pPr>
      <w:rPr>
        <w:rFonts w:ascii="Noto Sans Symbols" w:eastAsia="Noto Sans Symbols" w:hAnsi="Noto Sans Symbols" w:cs="Noto Sans Symbols"/>
      </w:rPr>
    </w:lvl>
    <w:lvl w:ilvl="4">
      <w:start w:val="1"/>
      <w:numFmt w:val="bullet"/>
      <w:lvlText w:val="o"/>
      <w:lvlJc w:val="left"/>
      <w:pPr>
        <w:ind w:left="5074" w:hanging="360"/>
      </w:pPr>
      <w:rPr>
        <w:rFonts w:ascii="Courier New" w:eastAsia="Courier New" w:hAnsi="Courier New" w:cs="Courier New"/>
      </w:rPr>
    </w:lvl>
    <w:lvl w:ilvl="5">
      <w:start w:val="1"/>
      <w:numFmt w:val="bullet"/>
      <w:lvlText w:val="▪"/>
      <w:lvlJc w:val="left"/>
      <w:pPr>
        <w:ind w:left="5794" w:hanging="360"/>
      </w:pPr>
      <w:rPr>
        <w:rFonts w:ascii="Noto Sans Symbols" w:eastAsia="Noto Sans Symbols" w:hAnsi="Noto Sans Symbols" w:cs="Noto Sans Symbols"/>
      </w:rPr>
    </w:lvl>
    <w:lvl w:ilvl="6">
      <w:start w:val="1"/>
      <w:numFmt w:val="bullet"/>
      <w:lvlText w:val="●"/>
      <w:lvlJc w:val="left"/>
      <w:pPr>
        <w:ind w:left="6514" w:hanging="360"/>
      </w:pPr>
      <w:rPr>
        <w:rFonts w:ascii="Noto Sans Symbols" w:eastAsia="Noto Sans Symbols" w:hAnsi="Noto Sans Symbols" w:cs="Noto Sans Symbols"/>
      </w:rPr>
    </w:lvl>
    <w:lvl w:ilvl="7">
      <w:start w:val="1"/>
      <w:numFmt w:val="bullet"/>
      <w:lvlText w:val="o"/>
      <w:lvlJc w:val="left"/>
      <w:pPr>
        <w:ind w:left="7234" w:hanging="360"/>
      </w:pPr>
      <w:rPr>
        <w:rFonts w:ascii="Courier New" w:eastAsia="Courier New" w:hAnsi="Courier New" w:cs="Courier New"/>
      </w:rPr>
    </w:lvl>
    <w:lvl w:ilvl="8">
      <w:start w:val="1"/>
      <w:numFmt w:val="bullet"/>
      <w:lvlText w:val="▪"/>
      <w:lvlJc w:val="left"/>
      <w:pPr>
        <w:ind w:left="7954" w:hanging="360"/>
      </w:pPr>
      <w:rPr>
        <w:rFonts w:ascii="Noto Sans Symbols" w:eastAsia="Noto Sans Symbols" w:hAnsi="Noto Sans Symbols" w:cs="Noto Sans Symbols"/>
      </w:rPr>
    </w:lvl>
  </w:abstractNum>
  <w:num w:numId="1">
    <w:abstractNumId w:val="13"/>
  </w:num>
  <w:num w:numId="2">
    <w:abstractNumId w:val="15"/>
  </w:num>
  <w:num w:numId="3">
    <w:abstractNumId w:val="10"/>
  </w:num>
  <w:num w:numId="4">
    <w:abstractNumId w:val="5"/>
  </w:num>
  <w:num w:numId="5">
    <w:abstractNumId w:val="0"/>
  </w:num>
  <w:num w:numId="6">
    <w:abstractNumId w:val="3"/>
  </w:num>
  <w:num w:numId="7">
    <w:abstractNumId w:val="7"/>
  </w:num>
  <w:num w:numId="8">
    <w:abstractNumId w:val="14"/>
  </w:num>
  <w:num w:numId="9">
    <w:abstractNumId w:val="2"/>
  </w:num>
  <w:num w:numId="10">
    <w:abstractNumId w:val="9"/>
  </w:num>
  <w:num w:numId="11">
    <w:abstractNumId w:val="6"/>
  </w:num>
  <w:num w:numId="12">
    <w:abstractNumId w:val="1"/>
  </w:num>
  <w:num w:numId="13">
    <w:abstractNumId w:val="11"/>
  </w:num>
  <w:num w:numId="14">
    <w:abstractNumId w:val="12"/>
  </w:num>
  <w:num w:numId="15">
    <w:abstractNumId w:val="8"/>
  </w:num>
  <w:num w:numId="1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27CC"/>
    <w:rsid w:val="000958C3"/>
    <w:rsid w:val="000A16C9"/>
    <w:rsid w:val="0011267C"/>
    <w:rsid w:val="002D4FDD"/>
    <w:rsid w:val="002F362B"/>
    <w:rsid w:val="00346DA8"/>
    <w:rsid w:val="004E3314"/>
    <w:rsid w:val="00557147"/>
    <w:rsid w:val="00616FB3"/>
    <w:rsid w:val="006A431E"/>
    <w:rsid w:val="007B20B5"/>
    <w:rsid w:val="007E4B92"/>
    <w:rsid w:val="00813AC7"/>
    <w:rsid w:val="008B71C7"/>
    <w:rsid w:val="00A01221"/>
    <w:rsid w:val="00B52FFC"/>
    <w:rsid w:val="00B71C67"/>
    <w:rsid w:val="00BB2A7E"/>
    <w:rsid w:val="00BD456E"/>
    <w:rsid w:val="00C62031"/>
    <w:rsid w:val="00DB44D2"/>
    <w:rsid w:val="00E027CC"/>
    <w:rsid w:val="00EB53CA"/>
    <w:rsid w:val="00EC4846"/>
    <w:rsid w:val="00FB781C"/>
    <w:rsid w:val="00FD2A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321A4E2-D0EB-4F62-8751-730D42F13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tabs>
        <w:tab w:val="left" w:pos="851"/>
      </w:tabs>
      <w:spacing w:after="120" w:line="240" w:lineRule="auto"/>
      <w:ind w:left="737" w:hanging="737"/>
      <w:jc w:val="both"/>
      <w:outlineLvl w:val="0"/>
    </w:pPr>
    <w:rPr>
      <w:rFonts w:ascii="Arial" w:eastAsia="Arial" w:hAnsi="Arial" w:cs="Arial"/>
      <w:b/>
      <w:smallCaps/>
      <w:sz w:val="20"/>
      <w:szCs w:val="20"/>
    </w:rPr>
  </w:style>
  <w:style w:type="paragraph" w:styleId="Heading2">
    <w:name w:val="heading 2"/>
    <w:basedOn w:val="Normal"/>
    <w:next w:val="Normal"/>
    <w:pPr>
      <w:tabs>
        <w:tab w:val="left" w:pos="851"/>
      </w:tabs>
      <w:spacing w:after="120" w:line="240" w:lineRule="auto"/>
      <w:ind w:left="737" w:hanging="737"/>
      <w:jc w:val="both"/>
      <w:outlineLvl w:val="1"/>
    </w:pPr>
    <w:rPr>
      <w:rFonts w:ascii="Arial" w:eastAsia="Arial" w:hAnsi="Arial" w:cs="Arial"/>
      <w:sz w:val="20"/>
      <w:szCs w:val="20"/>
    </w:rPr>
  </w:style>
  <w:style w:type="paragraph" w:styleId="Heading3">
    <w:name w:val="heading 3"/>
    <w:basedOn w:val="Normal"/>
    <w:next w:val="Normal"/>
    <w:pPr>
      <w:tabs>
        <w:tab w:val="left" w:pos="1843"/>
      </w:tabs>
      <w:spacing w:after="120" w:line="240" w:lineRule="auto"/>
      <w:ind w:left="1474" w:hanging="736"/>
      <w:jc w:val="both"/>
      <w:outlineLvl w:val="2"/>
    </w:pPr>
    <w:rPr>
      <w:rFonts w:ascii="Arial" w:eastAsia="Arial" w:hAnsi="Arial" w:cs="Arial"/>
    </w:rPr>
  </w:style>
  <w:style w:type="paragraph" w:styleId="Heading4">
    <w:name w:val="heading 4"/>
    <w:basedOn w:val="Normal"/>
    <w:next w:val="Normal"/>
    <w:pPr>
      <w:spacing w:after="120" w:line="240" w:lineRule="auto"/>
      <w:ind w:left="2268" w:hanging="794"/>
      <w:jc w:val="both"/>
      <w:outlineLvl w:val="3"/>
    </w:pPr>
    <w:rPr>
      <w:rFonts w:ascii="Arial" w:eastAsia="Arial" w:hAnsi="Arial" w:cs="Arial"/>
    </w:rPr>
  </w:style>
  <w:style w:type="paragraph" w:styleId="Heading5">
    <w:name w:val="heading 5"/>
    <w:basedOn w:val="Normal"/>
    <w:next w:val="Normal"/>
    <w:pPr>
      <w:keepNext/>
      <w:keepLines/>
      <w:spacing w:before="200" w:after="0"/>
      <w:outlineLvl w:val="4"/>
    </w:pPr>
    <w:rPr>
      <w:rFonts w:ascii="Cambria" w:eastAsia="Cambria" w:hAnsi="Cambria" w:cs="Cambria"/>
      <w:color w:val="243F61"/>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0">
    <w:basedOn w:val="TableNormal"/>
    <w:pPr>
      <w:spacing w:after="0" w:line="240" w:lineRule="auto"/>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1">
    <w:basedOn w:val="TableNormal"/>
    <w:pPr>
      <w:spacing w:after="0" w:line="240" w:lineRule="auto"/>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2">
    <w:basedOn w:val="TableNormal"/>
    <w:pPr>
      <w:spacing w:after="0" w:line="240" w:lineRule="auto"/>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3">
    <w:basedOn w:val="TableNormal"/>
    <w:pPr>
      <w:spacing w:after="0" w:line="240" w:lineRule="auto"/>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4">
    <w:basedOn w:val="TableNormal"/>
    <w:pPr>
      <w:spacing w:after="0" w:line="240" w:lineRule="auto"/>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5">
    <w:basedOn w:val="TableNormal"/>
    <w:pPr>
      <w:spacing w:after="0" w:line="240" w:lineRule="auto"/>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6">
    <w:basedOn w:val="TableNormal"/>
    <w:pPr>
      <w:spacing w:after="0" w:line="240" w:lineRule="auto"/>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table" w:customStyle="1" w:styleId="a7">
    <w:basedOn w:val="TableNormal"/>
    <w:pPr>
      <w:spacing w:after="0" w:line="240" w:lineRule="auto"/>
      <w:jc w:val="both"/>
    </w:pPr>
    <w:rPr>
      <w:rFonts w:ascii="Times New Roman" w:eastAsia="Times New Roman" w:hAnsi="Times New Roman" w:cs="Times New Roman"/>
      <w:sz w:val="20"/>
      <w:szCs w:val="20"/>
    </w:rPr>
    <w:tblPr>
      <w:tblStyleRowBandSize w:val="1"/>
      <w:tblStyleColBandSize w:val="1"/>
      <w:tblCellMar>
        <w:left w:w="115" w:type="dxa"/>
        <w:right w:w="115" w:type="dxa"/>
      </w:tblCellMar>
    </w:tblPr>
  </w:style>
  <w:style w:type="paragraph" w:styleId="CommentText">
    <w:name w:val="annotation text"/>
    <w:basedOn w:val="Normal"/>
    <w:link w:val="CommentTextChar"/>
    <w:uiPriority w:val="99"/>
    <w:semiHidden/>
    <w:unhideWhenUsed/>
    <w:rsid w:val="002F362B"/>
    <w:pPr>
      <w:spacing w:line="240" w:lineRule="auto"/>
    </w:pPr>
    <w:rPr>
      <w:sz w:val="20"/>
      <w:szCs w:val="20"/>
    </w:rPr>
  </w:style>
  <w:style w:type="character" w:customStyle="1" w:styleId="CommentTextChar">
    <w:name w:val="Comment Text Char"/>
    <w:basedOn w:val="DefaultParagraphFont"/>
    <w:link w:val="CommentText"/>
    <w:uiPriority w:val="99"/>
    <w:semiHidden/>
    <w:rsid w:val="002F362B"/>
    <w:rPr>
      <w:sz w:val="20"/>
      <w:szCs w:val="20"/>
    </w:rPr>
  </w:style>
  <w:style w:type="character" w:styleId="CommentReference">
    <w:name w:val="annotation reference"/>
    <w:basedOn w:val="DefaultParagraphFont"/>
    <w:uiPriority w:val="99"/>
    <w:semiHidden/>
    <w:unhideWhenUsed/>
    <w:rsid w:val="002F362B"/>
    <w:rPr>
      <w:sz w:val="16"/>
      <w:szCs w:val="16"/>
    </w:rPr>
  </w:style>
  <w:style w:type="paragraph" w:styleId="BalloonText">
    <w:name w:val="Balloon Text"/>
    <w:basedOn w:val="Normal"/>
    <w:link w:val="BalloonTextChar"/>
    <w:uiPriority w:val="99"/>
    <w:semiHidden/>
    <w:unhideWhenUsed/>
    <w:rsid w:val="002F362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F362B"/>
    <w:rPr>
      <w:rFonts w:ascii="Segoe UI" w:hAnsi="Segoe UI" w:cs="Segoe UI"/>
      <w:sz w:val="18"/>
      <w:szCs w:val="18"/>
    </w:rPr>
  </w:style>
  <w:style w:type="paragraph" w:styleId="Revision">
    <w:name w:val="Revision"/>
    <w:hidden/>
    <w:uiPriority w:val="99"/>
    <w:semiHidden/>
    <w:rsid w:val="002F362B"/>
    <w:pPr>
      <w:spacing w:after="0" w:line="240" w:lineRule="auto"/>
    </w:pPr>
  </w:style>
  <w:style w:type="paragraph" w:styleId="ListParagraph">
    <w:name w:val="List Paragraph"/>
    <w:aliases w:val="F5 List Paragraph,Bullet Points,No Spacing1,List Paragraph Char Char Char,Indicator Text,Numbered Para 1,Bullet 1,Colorful List - Accent 11,List Paragraph11,MAIN CONTENT,List Paragraph12,List Paragraph2,OBC Bullet,Dot pt,List Paragraph1"/>
    <w:basedOn w:val="Normal"/>
    <w:link w:val="ListParagraphChar"/>
    <w:uiPriority w:val="34"/>
    <w:qFormat/>
    <w:rsid w:val="0011267C"/>
    <w:pPr>
      <w:spacing w:after="160" w:line="259" w:lineRule="auto"/>
      <w:ind w:left="720"/>
      <w:contextualSpacing/>
    </w:pPr>
    <w:rPr>
      <w:rFonts w:asciiTheme="minorHAnsi" w:eastAsiaTheme="minorHAnsi" w:hAnsiTheme="minorHAnsi" w:cstheme="minorBidi"/>
      <w:lang w:eastAsia="en-US"/>
    </w:rPr>
  </w:style>
  <w:style w:type="character" w:customStyle="1" w:styleId="ListParagraphChar">
    <w:name w:val="List Paragraph Char"/>
    <w:aliases w:val="F5 List Paragraph Char,Bullet Points Char,No Spacing1 Char,List Paragraph Char Char Char Char,Indicator Text Char,Numbered Para 1 Char,Bullet 1 Char,Colorful List - Accent 11 Char,List Paragraph11 Char,MAIN CONTENT Char,Dot pt Char"/>
    <w:basedOn w:val="DefaultParagraphFont"/>
    <w:link w:val="ListParagraph"/>
    <w:uiPriority w:val="34"/>
    <w:rsid w:val="0011267C"/>
    <w:rPr>
      <w:rFonts w:asciiTheme="minorHAnsi" w:eastAsiaTheme="minorHAnsi" w:hAnsiTheme="minorHAnsi" w:cstheme="minorBidi"/>
      <w:lang w:eastAsia="en-US"/>
    </w:rPr>
  </w:style>
  <w:style w:type="character" w:styleId="Hyperlink">
    <w:name w:val="Hyperlink"/>
    <w:basedOn w:val="DefaultParagraphFont"/>
    <w:uiPriority w:val="99"/>
    <w:unhideWhenUsed/>
    <w:rsid w:val="00B52FFC"/>
    <w:rPr>
      <w:color w:val="0000FF" w:themeColor="hyperlink"/>
      <w:u w:val="single"/>
    </w:rPr>
  </w:style>
  <w:style w:type="paragraph" w:styleId="CommentSubject">
    <w:name w:val="annotation subject"/>
    <w:basedOn w:val="CommentText"/>
    <w:next w:val="CommentText"/>
    <w:link w:val="CommentSubjectChar"/>
    <w:uiPriority w:val="99"/>
    <w:semiHidden/>
    <w:unhideWhenUsed/>
    <w:rsid w:val="00616FB3"/>
    <w:rPr>
      <w:b/>
      <w:bCs/>
    </w:rPr>
  </w:style>
  <w:style w:type="character" w:customStyle="1" w:styleId="CommentSubjectChar">
    <w:name w:val="Comment Subject Char"/>
    <w:basedOn w:val="CommentTextChar"/>
    <w:link w:val="CommentSubject"/>
    <w:uiPriority w:val="99"/>
    <w:semiHidden/>
    <w:rsid w:val="00616FB3"/>
    <w:rPr>
      <w:b/>
      <w:bCs/>
      <w:sz w:val="20"/>
      <w:szCs w:val="20"/>
    </w:rPr>
  </w:style>
  <w:style w:type="paragraph" w:styleId="TOC1">
    <w:name w:val="toc 1"/>
    <w:basedOn w:val="Normal"/>
    <w:next w:val="Normal"/>
    <w:autoRedefine/>
    <w:uiPriority w:val="39"/>
    <w:unhideWhenUsed/>
    <w:rsid w:val="00EC4846"/>
    <w:pPr>
      <w:spacing w:after="100"/>
    </w:pPr>
  </w:style>
  <w:style w:type="paragraph" w:styleId="TOC2">
    <w:name w:val="toc 2"/>
    <w:basedOn w:val="Normal"/>
    <w:next w:val="Normal"/>
    <w:autoRedefine/>
    <w:uiPriority w:val="39"/>
    <w:unhideWhenUsed/>
    <w:rsid w:val="00EC4846"/>
    <w:pPr>
      <w:spacing w:after="100"/>
      <w:ind w:left="220"/>
    </w:pPr>
  </w:style>
  <w:style w:type="paragraph" w:styleId="TOC3">
    <w:name w:val="toc 3"/>
    <w:basedOn w:val="Normal"/>
    <w:next w:val="Normal"/>
    <w:autoRedefine/>
    <w:uiPriority w:val="39"/>
    <w:unhideWhenUsed/>
    <w:rsid w:val="00EC4846"/>
    <w:pPr>
      <w:spacing w:after="100"/>
      <w:ind w:left="440"/>
    </w:pPr>
  </w:style>
  <w:style w:type="paragraph" w:styleId="TOC4">
    <w:name w:val="toc 4"/>
    <w:basedOn w:val="Normal"/>
    <w:next w:val="Normal"/>
    <w:autoRedefine/>
    <w:uiPriority w:val="39"/>
    <w:unhideWhenUsed/>
    <w:rsid w:val="00EC4846"/>
    <w:pPr>
      <w:spacing w:after="100"/>
      <w:ind w:left="660"/>
    </w:pPr>
  </w:style>
  <w:style w:type="paragraph" w:styleId="TOC5">
    <w:name w:val="toc 5"/>
    <w:basedOn w:val="Normal"/>
    <w:next w:val="Normal"/>
    <w:autoRedefine/>
    <w:uiPriority w:val="39"/>
    <w:unhideWhenUsed/>
    <w:rsid w:val="00EC4846"/>
    <w:pPr>
      <w:spacing w:after="100" w:line="259" w:lineRule="auto"/>
      <w:ind w:left="880"/>
    </w:pPr>
    <w:rPr>
      <w:rFonts w:asciiTheme="minorHAnsi" w:eastAsiaTheme="minorEastAsia" w:hAnsiTheme="minorHAnsi" w:cstheme="minorBidi"/>
    </w:rPr>
  </w:style>
  <w:style w:type="paragraph" w:styleId="TOC6">
    <w:name w:val="toc 6"/>
    <w:basedOn w:val="Normal"/>
    <w:next w:val="Normal"/>
    <w:autoRedefine/>
    <w:uiPriority w:val="39"/>
    <w:unhideWhenUsed/>
    <w:rsid w:val="00EC4846"/>
    <w:pPr>
      <w:spacing w:after="100" w:line="259" w:lineRule="auto"/>
      <w:ind w:left="1100"/>
    </w:pPr>
    <w:rPr>
      <w:rFonts w:asciiTheme="minorHAnsi" w:eastAsiaTheme="minorEastAsia" w:hAnsiTheme="minorHAnsi" w:cstheme="minorBidi"/>
    </w:rPr>
  </w:style>
  <w:style w:type="paragraph" w:styleId="TOC7">
    <w:name w:val="toc 7"/>
    <w:basedOn w:val="Normal"/>
    <w:next w:val="Normal"/>
    <w:autoRedefine/>
    <w:uiPriority w:val="39"/>
    <w:unhideWhenUsed/>
    <w:rsid w:val="00EC4846"/>
    <w:pPr>
      <w:spacing w:after="100" w:line="259" w:lineRule="auto"/>
      <w:ind w:left="1320"/>
    </w:pPr>
    <w:rPr>
      <w:rFonts w:asciiTheme="minorHAnsi" w:eastAsiaTheme="minorEastAsia" w:hAnsiTheme="minorHAnsi" w:cstheme="minorBidi"/>
    </w:rPr>
  </w:style>
  <w:style w:type="paragraph" w:styleId="TOC8">
    <w:name w:val="toc 8"/>
    <w:basedOn w:val="Normal"/>
    <w:next w:val="Normal"/>
    <w:autoRedefine/>
    <w:uiPriority w:val="39"/>
    <w:unhideWhenUsed/>
    <w:rsid w:val="00EC4846"/>
    <w:pPr>
      <w:spacing w:after="100" w:line="259" w:lineRule="auto"/>
      <w:ind w:left="1540"/>
    </w:pPr>
    <w:rPr>
      <w:rFonts w:asciiTheme="minorHAnsi" w:eastAsiaTheme="minorEastAsia" w:hAnsiTheme="minorHAnsi" w:cstheme="minorBidi"/>
    </w:rPr>
  </w:style>
  <w:style w:type="paragraph" w:styleId="TOC9">
    <w:name w:val="toc 9"/>
    <w:basedOn w:val="Normal"/>
    <w:next w:val="Normal"/>
    <w:autoRedefine/>
    <w:uiPriority w:val="39"/>
    <w:unhideWhenUsed/>
    <w:rsid w:val="00EC4846"/>
    <w:pPr>
      <w:spacing w:after="100" w:line="259" w:lineRule="auto"/>
      <w:ind w:left="1760"/>
    </w:pPr>
    <w:rPr>
      <w:rFonts w:asciiTheme="minorHAnsi" w:eastAsiaTheme="minorEastAsia" w:hAnsiTheme="minorHAnsi" w:cstheme="minorBid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s://www.gov.uk/government/organisations/civil-service-government-economic-service" TargetMode="External"/><Relationship Id="rId13" Type="http://schemas.openxmlformats.org/officeDocument/2006/relationships/hyperlink" Target="http://ec.europa.eu/enterprise/policies/sme/facts-figures-analysis/sme-definition/"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www.legislation.gov.uk/uksi/2015/102/contents/made"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covenant-mailbox@mod.uk"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www.gov.uk/government/publications/2010-to-2015-government-policy-armed-forces-covenant/2010-to-2015-government-policy-armed-forces-covenant" TargetMode="External"/><Relationship Id="rId4" Type="http://schemas.openxmlformats.org/officeDocument/2006/relationships/webSettings" Target="webSettings.xml"/><Relationship Id="rId9" Type="http://schemas.openxmlformats.org/officeDocument/2006/relationships/hyperlink" Target="https://www.instituteforapprenticeships.org/apprenticeship-standards/professional-economist-degree/"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31</Pages>
  <Words>9943</Words>
  <Characters>56680</Characters>
  <Application>Microsoft Office Word</Application>
  <DocSecurity>0</DocSecurity>
  <Lines>472</Lines>
  <Paragraphs>132</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66491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Marie Clarke</dc:creator>
  <cp:lastModifiedBy>Marie Clarke</cp:lastModifiedBy>
  <cp:revision>3</cp:revision>
  <dcterms:created xsi:type="dcterms:W3CDTF">2018-07-10T08:54:00Z</dcterms:created>
  <dcterms:modified xsi:type="dcterms:W3CDTF">2018-07-10T09:06:00Z</dcterms:modified>
</cp:coreProperties>
</file>